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728" w:rsidRPr="006655AC" w:rsidRDefault="00E02728">
      <w:pPr>
        <w:pStyle w:val="Title"/>
        <w:rPr>
          <w:rFonts w:ascii="Dark Courier" w:hAnsi="Dark Courier"/>
        </w:rPr>
      </w:pPr>
      <w:r w:rsidRPr="006655AC">
        <w:rPr>
          <w:rFonts w:ascii="Dark Courier" w:hAnsi="Dark Courier"/>
        </w:rPr>
        <w:t>IN THE COURT OF COMMON PLEAS OF CARBON COUNTY, PENNSYLVANIA</w:t>
      </w:r>
    </w:p>
    <w:p w:rsidR="00E02728" w:rsidRPr="006655AC" w:rsidRDefault="00E02728">
      <w:pPr>
        <w:pStyle w:val="Subtitle"/>
        <w:rPr>
          <w:rFonts w:ascii="Dark Courier" w:hAnsi="Dark Courier"/>
          <w:u w:val="none"/>
        </w:rPr>
      </w:pPr>
      <w:r w:rsidRPr="006655AC">
        <w:rPr>
          <w:rFonts w:ascii="Dark Courier" w:hAnsi="Dark Courier"/>
          <w:u w:val="none"/>
        </w:rPr>
        <w:t>CRIMINAL DIVISION</w:t>
      </w:r>
    </w:p>
    <w:p w:rsidR="00E02728" w:rsidRPr="006655AC" w:rsidRDefault="00E02728">
      <w:pPr>
        <w:rPr>
          <w:rFonts w:ascii="Dark Courier" w:hAnsi="Dark Courier"/>
          <w:bCs/>
        </w:rPr>
      </w:pPr>
    </w:p>
    <w:p w:rsidR="00E02728" w:rsidRPr="006655AC" w:rsidRDefault="00E02728">
      <w:pPr>
        <w:rPr>
          <w:rFonts w:ascii="Dark Courier" w:hAnsi="Dark Courier"/>
          <w:bCs/>
        </w:rPr>
      </w:pPr>
      <w:r w:rsidRPr="006655AC">
        <w:rPr>
          <w:rFonts w:ascii="Dark Courier" w:hAnsi="Dark Courier"/>
          <w:bCs/>
        </w:rPr>
        <w:t>COMMONWEALTH OF PENNSYLVANIA</w:t>
      </w:r>
      <w:r w:rsidRPr="006655AC">
        <w:rPr>
          <w:rFonts w:ascii="Dark Courier" w:hAnsi="Dark Courier"/>
          <w:bCs/>
        </w:rPr>
        <w:tab/>
        <w:t>:</w:t>
      </w:r>
      <w:r w:rsidRPr="006655AC">
        <w:rPr>
          <w:rFonts w:ascii="Dark Courier" w:hAnsi="Dark Courier"/>
          <w:bCs/>
        </w:rPr>
        <w:tab/>
      </w:r>
    </w:p>
    <w:p w:rsidR="00E02728" w:rsidRPr="006655AC" w:rsidRDefault="00E02728">
      <w:pPr>
        <w:rPr>
          <w:rFonts w:ascii="Dark Courier" w:hAnsi="Dark Courier"/>
          <w:bCs/>
        </w:rPr>
      </w:pPr>
      <w:r w:rsidRPr="006655AC">
        <w:rPr>
          <w:rFonts w:ascii="Dark Courier" w:hAnsi="Dark Courier"/>
          <w:bCs/>
        </w:rPr>
        <w:tab/>
      </w:r>
      <w:r w:rsidRPr="006655AC">
        <w:rPr>
          <w:rFonts w:ascii="Dark Courier" w:hAnsi="Dark Courier"/>
          <w:bCs/>
        </w:rPr>
        <w:tab/>
      </w:r>
      <w:r w:rsidRPr="006655AC">
        <w:rPr>
          <w:rFonts w:ascii="Dark Courier" w:hAnsi="Dark Courier"/>
          <w:bCs/>
        </w:rPr>
        <w:tab/>
      </w:r>
      <w:r w:rsidRPr="006655AC">
        <w:rPr>
          <w:rFonts w:ascii="Dark Courier" w:hAnsi="Dark Courier"/>
          <w:bCs/>
        </w:rPr>
        <w:tab/>
      </w:r>
      <w:r w:rsidRPr="006655AC">
        <w:rPr>
          <w:rFonts w:ascii="Dark Courier" w:hAnsi="Dark Courier"/>
          <w:bCs/>
        </w:rPr>
        <w:tab/>
      </w:r>
      <w:r w:rsidRPr="006655AC">
        <w:rPr>
          <w:rFonts w:ascii="Dark Courier" w:hAnsi="Dark Courier"/>
          <w:bCs/>
        </w:rPr>
        <w:tab/>
        <w:t>:</w:t>
      </w:r>
    </w:p>
    <w:p w:rsidR="00E02728" w:rsidRPr="006655AC" w:rsidRDefault="00E02728">
      <w:pPr>
        <w:rPr>
          <w:rFonts w:ascii="Dark Courier" w:hAnsi="Dark Courier"/>
          <w:bCs/>
        </w:rPr>
      </w:pPr>
      <w:r w:rsidRPr="006655AC">
        <w:rPr>
          <w:rFonts w:ascii="Dark Courier" w:hAnsi="Dark Courier"/>
          <w:bCs/>
        </w:rPr>
        <w:tab/>
      </w:r>
      <w:r w:rsidRPr="006655AC">
        <w:rPr>
          <w:rFonts w:ascii="Dark Courier" w:hAnsi="Dark Courier"/>
          <w:bCs/>
        </w:rPr>
        <w:tab/>
      </w:r>
      <w:proofErr w:type="gramStart"/>
      <w:r w:rsidRPr="006655AC">
        <w:rPr>
          <w:rFonts w:ascii="Dark Courier" w:hAnsi="Dark Courier"/>
          <w:bCs/>
        </w:rPr>
        <w:t>vs</w:t>
      </w:r>
      <w:proofErr w:type="gramEnd"/>
      <w:r w:rsidRPr="006655AC">
        <w:rPr>
          <w:rFonts w:ascii="Dark Courier" w:hAnsi="Dark Courier"/>
          <w:bCs/>
        </w:rPr>
        <w:t>.</w:t>
      </w:r>
      <w:r w:rsidRPr="006655AC">
        <w:rPr>
          <w:rFonts w:ascii="Dark Courier" w:hAnsi="Dark Courier"/>
          <w:bCs/>
        </w:rPr>
        <w:tab/>
      </w:r>
      <w:r w:rsidRPr="006655AC">
        <w:rPr>
          <w:rFonts w:ascii="Dark Courier" w:hAnsi="Dark Courier"/>
          <w:bCs/>
        </w:rPr>
        <w:tab/>
      </w:r>
      <w:r w:rsidRPr="006655AC">
        <w:rPr>
          <w:rFonts w:ascii="Dark Courier" w:hAnsi="Dark Courier"/>
          <w:bCs/>
        </w:rPr>
        <w:tab/>
      </w:r>
      <w:r w:rsidRPr="006655AC">
        <w:rPr>
          <w:rFonts w:ascii="Dark Courier" w:hAnsi="Dark Courier"/>
          <w:bCs/>
        </w:rPr>
        <w:tab/>
        <w:t>:</w:t>
      </w:r>
      <w:r w:rsidR="00A117BC" w:rsidRPr="006655AC">
        <w:rPr>
          <w:rFonts w:ascii="Dark Courier" w:hAnsi="Dark Courier"/>
          <w:bCs/>
        </w:rPr>
        <w:tab/>
        <w:t>No</w:t>
      </w:r>
      <w:r w:rsidRPr="006655AC">
        <w:rPr>
          <w:rFonts w:ascii="Dark Courier" w:hAnsi="Dark Courier"/>
          <w:bCs/>
        </w:rPr>
        <w:t>:</w:t>
      </w:r>
      <w:r w:rsidRPr="006655AC">
        <w:rPr>
          <w:rFonts w:ascii="Dark Courier" w:hAnsi="Dark Courier"/>
          <w:bCs/>
        </w:rPr>
        <w:tab/>
      </w:r>
      <w:r w:rsidR="004A7B2E">
        <w:rPr>
          <w:rFonts w:ascii="Dark Courier" w:hAnsi="Dark Courier"/>
          <w:bCs/>
        </w:rPr>
        <w:t>354</w:t>
      </w:r>
      <w:r w:rsidR="00A117BC" w:rsidRPr="006655AC">
        <w:rPr>
          <w:rFonts w:ascii="Dark Courier" w:hAnsi="Dark Courier"/>
          <w:bCs/>
        </w:rPr>
        <w:t xml:space="preserve"> CR </w:t>
      </w:r>
      <w:r w:rsidR="00A50F08">
        <w:rPr>
          <w:rFonts w:ascii="Dark Courier" w:hAnsi="Dark Courier"/>
          <w:bCs/>
        </w:rPr>
        <w:t>11</w:t>
      </w:r>
    </w:p>
    <w:p w:rsidR="00E02728" w:rsidRPr="006655AC" w:rsidRDefault="00E02728">
      <w:pPr>
        <w:rPr>
          <w:rFonts w:ascii="Dark Courier" w:hAnsi="Dark Courier"/>
          <w:bCs/>
        </w:rPr>
      </w:pPr>
      <w:r w:rsidRPr="006655AC">
        <w:rPr>
          <w:rFonts w:ascii="Dark Courier" w:hAnsi="Dark Courier"/>
          <w:bCs/>
        </w:rPr>
        <w:tab/>
      </w:r>
      <w:r w:rsidRPr="006655AC">
        <w:rPr>
          <w:rFonts w:ascii="Dark Courier" w:hAnsi="Dark Courier"/>
          <w:bCs/>
        </w:rPr>
        <w:tab/>
      </w:r>
      <w:r w:rsidRPr="006655AC">
        <w:rPr>
          <w:rFonts w:ascii="Dark Courier" w:hAnsi="Dark Courier"/>
          <w:bCs/>
        </w:rPr>
        <w:tab/>
      </w:r>
      <w:r w:rsidRPr="006655AC">
        <w:rPr>
          <w:rFonts w:ascii="Dark Courier" w:hAnsi="Dark Courier"/>
          <w:bCs/>
        </w:rPr>
        <w:tab/>
      </w:r>
      <w:r w:rsidRPr="006655AC">
        <w:rPr>
          <w:rFonts w:ascii="Dark Courier" w:hAnsi="Dark Courier"/>
          <w:bCs/>
        </w:rPr>
        <w:tab/>
      </w:r>
      <w:r w:rsidRPr="006655AC">
        <w:rPr>
          <w:rFonts w:ascii="Dark Courier" w:hAnsi="Dark Courier"/>
          <w:bCs/>
        </w:rPr>
        <w:tab/>
        <w:t>:</w:t>
      </w:r>
      <w:r w:rsidRPr="006655AC">
        <w:rPr>
          <w:rFonts w:ascii="Dark Courier" w:hAnsi="Dark Courier"/>
          <w:bCs/>
        </w:rPr>
        <w:tab/>
      </w:r>
      <w:r w:rsidRPr="006655AC">
        <w:rPr>
          <w:rFonts w:ascii="Dark Courier" w:hAnsi="Dark Courier"/>
          <w:bCs/>
        </w:rPr>
        <w:tab/>
      </w:r>
    </w:p>
    <w:p w:rsidR="00E02728" w:rsidRPr="006655AC" w:rsidRDefault="004A7B2E">
      <w:pPr>
        <w:rPr>
          <w:rFonts w:ascii="Dark Courier" w:hAnsi="Dark Courier"/>
          <w:bCs/>
        </w:rPr>
      </w:pPr>
      <w:r>
        <w:rPr>
          <w:rFonts w:ascii="Dark Courier" w:hAnsi="Dark Courier"/>
          <w:bCs/>
        </w:rPr>
        <w:t xml:space="preserve">CHRISTOPHER RAY </w:t>
      </w:r>
      <w:proofErr w:type="gramStart"/>
      <w:r>
        <w:rPr>
          <w:rFonts w:ascii="Dark Courier" w:hAnsi="Dark Courier"/>
          <w:bCs/>
        </w:rPr>
        <w:t>HARRIS,</w:t>
      </w:r>
      <w:r>
        <w:rPr>
          <w:rFonts w:ascii="Dark Courier" w:hAnsi="Dark Courier"/>
          <w:bCs/>
        </w:rPr>
        <w:tab/>
      </w:r>
      <w:r>
        <w:rPr>
          <w:rFonts w:ascii="Dark Courier" w:hAnsi="Dark Courier"/>
          <w:bCs/>
        </w:rPr>
        <w:tab/>
      </w:r>
      <w:r w:rsidR="00E02728" w:rsidRPr="006655AC">
        <w:rPr>
          <w:rFonts w:ascii="Dark Courier" w:hAnsi="Dark Courier"/>
          <w:bCs/>
        </w:rPr>
        <w:t>:</w:t>
      </w:r>
      <w:proofErr w:type="gramEnd"/>
      <w:r w:rsidR="00E02728" w:rsidRPr="006655AC">
        <w:rPr>
          <w:rFonts w:ascii="Dark Courier" w:hAnsi="Dark Courier"/>
          <w:bCs/>
        </w:rPr>
        <w:tab/>
      </w:r>
      <w:r w:rsidR="00E02728" w:rsidRPr="006655AC">
        <w:rPr>
          <w:rFonts w:ascii="Dark Courier" w:hAnsi="Dark Courier"/>
          <w:bCs/>
        </w:rPr>
        <w:tab/>
      </w:r>
    </w:p>
    <w:p w:rsidR="00E02728" w:rsidRPr="006655AC" w:rsidRDefault="00E02728">
      <w:pPr>
        <w:rPr>
          <w:rFonts w:ascii="Dark Courier" w:hAnsi="Dark Courier"/>
          <w:bCs/>
        </w:rPr>
      </w:pPr>
      <w:r w:rsidRPr="006655AC">
        <w:rPr>
          <w:rFonts w:ascii="Dark Courier" w:hAnsi="Dark Courier"/>
          <w:bCs/>
        </w:rPr>
        <w:tab/>
      </w:r>
      <w:r w:rsidRPr="006655AC">
        <w:rPr>
          <w:rFonts w:ascii="Dark Courier" w:hAnsi="Dark Courier"/>
          <w:bCs/>
        </w:rPr>
        <w:tab/>
        <w:t>Defendant</w:t>
      </w:r>
      <w:r w:rsidRPr="006655AC">
        <w:rPr>
          <w:rFonts w:ascii="Dark Courier" w:hAnsi="Dark Courier"/>
          <w:bCs/>
        </w:rPr>
        <w:tab/>
      </w:r>
      <w:r w:rsidRPr="006655AC">
        <w:rPr>
          <w:rFonts w:ascii="Dark Courier" w:hAnsi="Dark Courier"/>
          <w:bCs/>
        </w:rPr>
        <w:tab/>
      </w:r>
      <w:r w:rsidRPr="006655AC">
        <w:rPr>
          <w:rFonts w:ascii="Dark Courier" w:hAnsi="Dark Courier"/>
          <w:bCs/>
        </w:rPr>
        <w:tab/>
        <w:t>:</w:t>
      </w:r>
      <w:r w:rsidRPr="006655AC">
        <w:rPr>
          <w:rFonts w:ascii="Dark Courier" w:hAnsi="Dark Courier"/>
          <w:bCs/>
        </w:rPr>
        <w:tab/>
      </w:r>
      <w:r w:rsidRPr="006655AC">
        <w:rPr>
          <w:rFonts w:ascii="Dark Courier" w:hAnsi="Dark Courier"/>
          <w:bCs/>
        </w:rPr>
        <w:tab/>
      </w:r>
    </w:p>
    <w:p w:rsidR="00E02728" w:rsidRPr="006655AC" w:rsidRDefault="00E02728">
      <w:pPr>
        <w:rPr>
          <w:rFonts w:ascii="Dark Courier" w:hAnsi="Dark Courier"/>
          <w:bCs/>
        </w:rPr>
      </w:pPr>
    </w:p>
    <w:p w:rsidR="00E02728" w:rsidRPr="006655AC" w:rsidRDefault="004A7B2E">
      <w:pPr>
        <w:ind w:left="5040" w:hanging="5040"/>
        <w:rPr>
          <w:rFonts w:ascii="Dark Courier" w:hAnsi="Dark Courier"/>
          <w:bCs/>
        </w:rPr>
      </w:pPr>
      <w:r>
        <w:rPr>
          <w:rFonts w:ascii="Dark Courier" w:hAnsi="Dark Courier"/>
          <w:bCs/>
        </w:rPr>
        <w:t>William E. McDonald</w:t>
      </w:r>
      <w:r w:rsidR="00E02728" w:rsidRPr="006655AC">
        <w:rPr>
          <w:rFonts w:ascii="Dark Courier" w:hAnsi="Dark Courier"/>
          <w:bCs/>
        </w:rPr>
        <w:t>, Esquire</w:t>
      </w:r>
      <w:r w:rsidR="00E02728" w:rsidRPr="006655AC">
        <w:rPr>
          <w:rFonts w:ascii="Dark Courier" w:hAnsi="Dark Courier"/>
          <w:bCs/>
        </w:rPr>
        <w:tab/>
      </w:r>
    </w:p>
    <w:p w:rsidR="00E02728" w:rsidRPr="006655AC" w:rsidRDefault="00E02728" w:rsidP="006655AC">
      <w:pPr>
        <w:ind w:left="5040" w:hanging="4320"/>
        <w:rPr>
          <w:rFonts w:ascii="Dark Courier" w:hAnsi="Dark Courier"/>
          <w:bCs/>
        </w:rPr>
      </w:pPr>
      <w:r w:rsidRPr="006655AC">
        <w:rPr>
          <w:rFonts w:ascii="Dark Courier" w:hAnsi="Dark Courier"/>
          <w:bCs/>
        </w:rPr>
        <w:t xml:space="preserve">Assistant District Attorney </w:t>
      </w:r>
      <w:r w:rsidRPr="006655AC">
        <w:rPr>
          <w:rFonts w:ascii="Dark Courier" w:hAnsi="Dark Courier"/>
          <w:bCs/>
        </w:rPr>
        <w:tab/>
        <w:t xml:space="preserve">Counsel for </w:t>
      </w:r>
      <w:r w:rsidR="005F3D25">
        <w:rPr>
          <w:rFonts w:ascii="Dark Courier" w:hAnsi="Dark Courier"/>
          <w:bCs/>
        </w:rPr>
        <w:t xml:space="preserve">the </w:t>
      </w:r>
      <w:r w:rsidRPr="006655AC">
        <w:rPr>
          <w:rFonts w:ascii="Dark Courier" w:hAnsi="Dark Courier"/>
          <w:bCs/>
        </w:rPr>
        <w:t>Commonwealth</w:t>
      </w:r>
    </w:p>
    <w:p w:rsidR="00E02728" w:rsidRPr="006655AC" w:rsidRDefault="004A7B2E">
      <w:pPr>
        <w:rPr>
          <w:rFonts w:ascii="Dark Courier" w:hAnsi="Dark Courier"/>
          <w:bCs/>
        </w:rPr>
      </w:pPr>
      <w:r>
        <w:rPr>
          <w:rFonts w:ascii="Dark Courier" w:hAnsi="Dark Courier"/>
          <w:bCs/>
        </w:rPr>
        <w:t>David V. Lampman, II</w:t>
      </w:r>
      <w:r w:rsidR="00E02728" w:rsidRPr="006655AC">
        <w:rPr>
          <w:rFonts w:ascii="Dark Courier" w:hAnsi="Dark Courier"/>
          <w:bCs/>
        </w:rPr>
        <w:t>, Esquire</w:t>
      </w:r>
      <w:r w:rsidR="00E02728" w:rsidRPr="006655AC">
        <w:rPr>
          <w:rFonts w:ascii="Dark Courier" w:hAnsi="Dark Courier"/>
          <w:bCs/>
        </w:rPr>
        <w:tab/>
      </w:r>
      <w:r w:rsidR="00A50F08">
        <w:rPr>
          <w:rFonts w:ascii="Dark Courier" w:hAnsi="Dark Courier"/>
          <w:bCs/>
        </w:rPr>
        <w:tab/>
      </w:r>
      <w:r w:rsidR="00E02728" w:rsidRPr="006655AC">
        <w:rPr>
          <w:rFonts w:ascii="Dark Courier" w:hAnsi="Dark Courier"/>
          <w:bCs/>
        </w:rPr>
        <w:t xml:space="preserve">Counsel for </w:t>
      </w:r>
      <w:r w:rsidR="005F3D25">
        <w:rPr>
          <w:rFonts w:ascii="Dark Courier" w:hAnsi="Dark Courier"/>
          <w:bCs/>
        </w:rPr>
        <w:t xml:space="preserve">the </w:t>
      </w:r>
      <w:r w:rsidR="00E02728" w:rsidRPr="006655AC">
        <w:rPr>
          <w:rFonts w:ascii="Dark Courier" w:hAnsi="Dark Courier"/>
          <w:bCs/>
        </w:rPr>
        <w:t>Defendant</w:t>
      </w:r>
    </w:p>
    <w:p w:rsidR="00E02728" w:rsidRPr="006655AC" w:rsidRDefault="00E02728">
      <w:pPr>
        <w:rPr>
          <w:rFonts w:ascii="Dark Courier" w:hAnsi="Dark Courier"/>
          <w:bCs/>
        </w:rPr>
      </w:pPr>
    </w:p>
    <w:p w:rsidR="00E02728" w:rsidRPr="006655AC" w:rsidRDefault="00E02728">
      <w:pPr>
        <w:pStyle w:val="Heading1"/>
        <w:rPr>
          <w:rFonts w:ascii="Dark Courier" w:hAnsi="Dark Courier"/>
        </w:rPr>
      </w:pPr>
      <w:r w:rsidRPr="006655AC">
        <w:rPr>
          <w:rFonts w:ascii="Dark Courier" w:hAnsi="Dark Courier"/>
        </w:rPr>
        <w:t>MEMORANDUM OPINION</w:t>
      </w:r>
    </w:p>
    <w:p w:rsidR="00E02728" w:rsidRPr="006655AC" w:rsidRDefault="00E02728">
      <w:pPr>
        <w:rPr>
          <w:rFonts w:ascii="Dark Courier" w:hAnsi="Dark Courier"/>
          <w:bCs/>
        </w:rPr>
      </w:pPr>
    </w:p>
    <w:p w:rsidR="00E02728" w:rsidRDefault="006655AC">
      <w:pPr>
        <w:rPr>
          <w:rFonts w:ascii="Dark Courier" w:hAnsi="Dark Courier"/>
          <w:bCs/>
        </w:rPr>
      </w:pPr>
      <w:r w:rsidRPr="006655AC">
        <w:rPr>
          <w:rFonts w:ascii="Dark Courier" w:hAnsi="Dark Courier"/>
          <w:bCs/>
        </w:rPr>
        <w:t xml:space="preserve">Serfass, </w:t>
      </w:r>
      <w:r w:rsidR="00E02728" w:rsidRPr="006655AC">
        <w:rPr>
          <w:rFonts w:ascii="Dark Courier" w:hAnsi="Dark Courier"/>
          <w:bCs/>
        </w:rPr>
        <w:t xml:space="preserve">J. – </w:t>
      </w:r>
      <w:r w:rsidR="002448FD">
        <w:rPr>
          <w:rFonts w:ascii="Dark Courier" w:hAnsi="Dark Courier"/>
          <w:bCs/>
        </w:rPr>
        <w:t xml:space="preserve">April </w:t>
      </w:r>
      <w:r w:rsidR="0059742A">
        <w:rPr>
          <w:rFonts w:ascii="Dark Courier" w:hAnsi="Dark Courier"/>
          <w:bCs/>
        </w:rPr>
        <w:t>5</w:t>
      </w:r>
      <w:r w:rsidR="00E02728" w:rsidRPr="006655AC">
        <w:rPr>
          <w:rFonts w:ascii="Dark Courier" w:hAnsi="Dark Courier"/>
          <w:bCs/>
        </w:rPr>
        <w:t>, 20</w:t>
      </w:r>
      <w:r w:rsidR="00A57E02">
        <w:rPr>
          <w:rFonts w:ascii="Dark Courier" w:hAnsi="Dark Courier"/>
          <w:bCs/>
        </w:rPr>
        <w:t>12</w:t>
      </w:r>
    </w:p>
    <w:p w:rsidR="006655AC" w:rsidRDefault="006655AC">
      <w:pPr>
        <w:rPr>
          <w:rFonts w:ascii="Dark Courier" w:hAnsi="Dark Courier"/>
          <w:bCs/>
        </w:rPr>
      </w:pPr>
    </w:p>
    <w:p w:rsidR="006655AC" w:rsidRDefault="006655AC" w:rsidP="006655AC">
      <w:pPr>
        <w:spacing w:line="480" w:lineRule="auto"/>
        <w:jc w:val="both"/>
        <w:rPr>
          <w:rFonts w:ascii="Dark Courier" w:hAnsi="Dark Courier"/>
          <w:bCs/>
        </w:rPr>
      </w:pPr>
      <w:r>
        <w:rPr>
          <w:rFonts w:ascii="Dark Courier" w:hAnsi="Dark Courier"/>
          <w:bCs/>
        </w:rPr>
        <w:tab/>
      </w:r>
      <w:r w:rsidRPr="006655AC">
        <w:rPr>
          <w:rFonts w:ascii="Dark Courier" w:hAnsi="Dark Courier"/>
          <w:bCs/>
        </w:rPr>
        <w:t>Here before the Court is the Defendant’s “</w:t>
      </w:r>
      <w:r w:rsidR="004A7B2E">
        <w:rPr>
          <w:rFonts w:ascii="Dark Courier" w:hAnsi="Dark Courier"/>
          <w:bCs/>
        </w:rPr>
        <w:t>Amended Omnibus Pretrial Motion</w:t>
      </w:r>
      <w:r w:rsidRPr="006655AC">
        <w:rPr>
          <w:rFonts w:ascii="Dark Courier" w:hAnsi="Dark Courier"/>
          <w:bCs/>
        </w:rPr>
        <w:t>”</w:t>
      </w:r>
      <w:r w:rsidR="002E0FB7">
        <w:rPr>
          <w:rFonts w:ascii="Dark Courier" w:hAnsi="Dark Courier"/>
          <w:bCs/>
        </w:rPr>
        <w:t xml:space="preserve"> in the nature</w:t>
      </w:r>
      <w:r w:rsidR="008C584A">
        <w:rPr>
          <w:rFonts w:ascii="Dark Courier" w:hAnsi="Dark Courier"/>
          <w:bCs/>
        </w:rPr>
        <w:t xml:space="preserve"> of several motions to suppress, a motion to modify bail,</w:t>
      </w:r>
      <w:r w:rsidR="002E0FB7">
        <w:rPr>
          <w:rFonts w:ascii="Dark Courier" w:hAnsi="Dark Courier"/>
          <w:bCs/>
        </w:rPr>
        <w:t xml:space="preserve"> a motion to r</w:t>
      </w:r>
      <w:r w:rsidR="008C584A">
        <w:rPr>
          <w:rFonts w:ascii="Dark Courier" w:hAnsi="Dark Courier"/>
          <w:bCs/>
        </w:rPr>
        <w:t>emand for a preliminary hearing,</w:t>
      </w:r>
      <w:r w:rsidR="002E0FB7">
        <w:rPr>
          <w:rFonts w:ascii="Dark Courier" w:hAnsi="Dark Courier"/>
          <w:bCs/>
        </w:rPr>
        <w:t xml:space="preserve"> a motion to exclude evidence of alleged p</w:t>
      </w:r>
      <w:r w:rsidR="008C584A">
        <w:rPr>
          <w:rFonts w:ascii="Dark Courier" w:hAnsi="Dark Courier"/>
          <w:bCs/>
        </w:rPr>
        <w:t>rior bad acts, wrongs or crimes,</w:t>
      </w:r>
      <w:r w:rsidR="002E0FB7">
        <w:rPr>
          <w:rFonts w:ascii="Dark Courier" w:hAnsi="Dark Courier"/>
          <w:bCs/>
        </w:rPr>
        <w:t xml:space="preserve"> and a motion to compel discovery.</w:t>
      </w:r>
      <w:r w:rsidRPr="006655AC">
        <w:rPr>
          <w:rFonts w:ascii="Dark Courier" w:hAnsi="Dark Courier"/>
          <w:bCs/>
        </w:rPr>
        <w:t xml:space="preserve"> For the </w:t>
      </w:r>
      <w:r>
        <w:rPr>
          <w:rFonts w:ascii="Dark Courier" w:hAnsi="Dark Courier"/>
          <w:bCs/>
        </w:rPr>
        <w:t>reasons that follow</w:t>
      </w:r>
      <w:r w:rsidRPr="006655AC">
        <w:rPr>
          <w:rFonts w:ascii="Dark Courier" w:hAnsi="Dark Courier"/>
          <w:bCs/>
        </w:rPr>
        <w:t xml:space="preserve">, we will </w:t>
      </w:r>
      <w:r w:rsidR="00D37E54">
        <w:rPr>
          <w:rFonts w:ascii="Dark Courier" w:hAnsi="Dark Courier"/>
          <w:bCs/>
        </w:rPr>
        <w:t xml:space="preserve">deny </w:t>
      </w:r>
      <w:r w:rsidRPr="006655AC">
        <w:rPr>
          <w:rFonts w:ascii="Dark Courier" w:hAnsi="Dark Courier"/>
          <w:bCs/>
        </w:rPr>
        <w:t xml:space="preserve">the Defendant’s </w:t>
      </w:r>
      <w:r w:rsidR="004A7B2E">
        <w:rPr>
          <w:rFonts w:ascii="Dark Courier" w:hAnsi="Dark Courier"/>
          <w:bCs/>
        </w:rPr>
        <w:t>Motion</w:t>
      </w:r>
      <w:r w:rsidRPr="006655AC">
        <w:rPr>
          <w:rFonts w:ascii="Dark Courier" w:hAnsi="Dark Courier"/>
          <w:bCs/>
        </w:rPr>
        <w:t>.</w:t>
      </w:r>
    </w:p>
    <w:p w:rsidR="00CD7F8E" w:rsidRDefault="00CD7F8E" w:rsidP="00CD7F8E">
      <w:pPr>
        <w:spacing w:line="480" w:lineRule="auto"/>
        <w:jc w:val="center"/>
        <w:rPr>
          <w:rFonts w:ascii="Dark Courier" w:hAnsi="Dark Courier"/>
          <w:b/>
          <w:bCs/>
          <w:u w:val="single"/>
        </w:rPr>
      </w:pPr>
      <w:r>
        <w:rPr>
          <w:rFonts w:ascii="Dark Courier" w:hAnsi="Dark Courier"/>
          <w:b/>
          <w:bCs/>
          <w:u w:val="single"/>
        </w:rPr>
        <w:t>FACTUAL AND PROCEDURAL BACKGROUND</w:t>
      </w:r>
    </w:p>
    <w:p w:rsidR="00D72407" w:rsidRDefault="00DE357B" w:rsidP="00443DFB">
      <w:pPr>
        <w:spacing w:line="480" w:lineRule="auto"/>
        <w:ind w:firstLine="720"/>
        <w:jc w:val="both"/>
        <w:rPr>
          <w:rFonts w:ascii="Dark Courier" w:hAnsi="Dark Courier"/>
          <w:bCs/>
        </w:rPr>
      </w:pPr>
      <w:r w:rsidRPr="00DE357B">
        <w:rPr>
          <w:rFonts w:ascii="Dark Courier" w:hAnsi="Dark Courier"/>
          <w:bCs/>
        </w:rPr>
        <w:t xml:space="preserve">On March 7, 2011, the Commonwealth through Officer Mike Bogart filed a Criminal Complaint against </w:t>
      </w:r>
      <w:r>
        <w:rPr>
          <w:rFonts w:ascii="Dark Courier" w:hAnsi="Dark Courier"/>
          <w:bCs/>
        </w:rPr>
        <w:t xml:space="preserve">the </w:t>
      </w:r>
      <w:r w:rsidRPr="00DE357B">
        <w:rPr>
          <w:rFonts w:ascii="Dark Courier" w:hAnsi="Dark Courier"/>
          <w:bCs/>
        </w:rPr>
        <w:t>Defendant</w:t>
      </w:r>
      <w:r>
        <w:rPr>
          <w:rFonts w:ascii="Dark Courier" w:hAnsi="Dark Courier"/>
          <w:bCs/>
        </w:rPr>
        <w:t>,</w:t>
      </w:r>
      <w:r w:rsidRPr="00DE357B">
        <w:rPr>
          <w:rFonts w:ascii="Dark Courier" w:hAnsi="Dark Courier"/>
          <w:bCs/>
        </w:rPr>
        <w:t xml:space="preserve"> charging him with </w:t>
      </w:r>
      <w:r>
        <w:rPr>
          <w:rFonts w:ascii="Dark Courier" w:hAnsi="Dark Courier"/>
          <w:bCs/>
        </w:rPr>
        <w:t>seven (</w:t>
      </w:r>
      <w:r w:rsidRPr="00DE357B">
        <w:rPr>
          <w:rFonts w:ascii="Dark Courier" w:hAnsi="Dark Courier"/>
          <w:bCs/>
        </w:rPr>
        <w:t>7</w:t>
      </w:r>
      <w:r>
        <w:rPr>
          <w:rFonts w:ascii="Dark Courier" w:hAnsi="Dark Courier"/>
          <w:bCs/>
        </w:rPr>
        <w:t>)</w:t>
      </w:r>
      <w:r w:rsidRPr="00DE357B">
        <w:rPr>
          <w:rFonts w:ascii="Dark Courier" w:hAnsi="Dark Courier"/>
          <w:bCs/>
        </w:rPr>
        <w:t xml:space="preserve"> counts of Aggravated Assault (F1), </w:t>
      </w:r>
      <w:r>
        <w:rPr>
          <w:rFonts w:ascii="Dark Courier" w:hAnsi="Dark Courier"/>
          <w:bCs/>
        </w:rPr>
        <w:t>seven (7)</w:t>
      </w:r>
      <w:r w:rsidRPr="00DE357B">
        <w:rPr>
          <w:rFonts w:ascii="Dark Courier" w:hAnsi="Dark Courier"/>
          <w:bCs/>
        </w:rPr>
        <w:t xml:space="preserve"> counts of Aggravated Assault (F2), </w:t>
      </w:r>
      <w:r>
        <w:rPr>
          <w:rFonts w:ascii="Dark Courier" w:hAnsi="Dark Courier"/>
          <w:bCs/>
        </w:rPr>
        <w:t>seven (</w:t>
      </w:r>
      <w:r w:rsidRPr="00DE357B">
        <w:rPr>
          <w:rFonts w:ascii="Dark Courier" w:hAnsi="Dark Courier"/>
          <w:bCs/>
        </w:rPr>
        <w:t>7</w:t>
      </w:r>
      <w:r>
        <w:rPr>
          <w:rFonts w:ascii="Dark Courier" w:hAnsi="Dark Courier"/>
          <w:bCs/>
        </w:rPr>
        <w:t>)</w:t>
      </w:r>
      <w:r w:rsidRPr="00DE357B">
        <w:rPr>
          <w:rFonts w:ascii="Dark Courier" w:hAnsi="Dark Courier"/>
          <w:bCs/>
        </w:rPr>
        <w:t xml:space="preserve"> counts of Criminal Conspiracy-Aggravated Assault (F1), </w:t>
      </w:r>
      <w:r>
        <w:rPr>
          <w:rFonts w:ascii="Dark Courier" w:hAnsi="Dark Courier"/>
          <w:bCs/>
        </w:rPr>
        <w:t>seven (</w:t>
      </w:r>
      <w:r w:rsidRPr="00DE357B">
        <w:rPr>
          <w:rFonts w:ascii="Dark Courier" w:hAnsi="Dark Courier"/>
          <w:bCs/>
        </w:rPr>
        <w:t>7</w:t>
      </w:r>
      <w:r>
        <w:rPr>
          <w:rFonts w:ascii="Dark Courier" w:hAnsi="Dark Courier"/>
          <w:bCs/>
        </w:rPr>
        <w:t>)</w:t>
      </w:r>
      <w:r w:rsidRPr="00DE357B">
        <w:rPr>
          <w:rFonts w:ascii="Dark Courier" w:hAnsi="Dark Courier"/>
          <w:bCs/>
        </w:rPr>
        <w:t xml:space="preserve"> counts of Criminal Conspiracy-Reckless Endangerment (M2), </w:t>
      </w:r>
      <w:r>
        <w:rPr>
          <w:rFonts w:ascii="Dark Courier" w:hAnsi="Dark Courier"/>
          <w:bCs/>
        </w:rPr>
        <w:t>seven (</w:t>
      </w:r>
      <w:r w:rsidRPr="00DE357B">
        <w:rPr>
          <w:rFonts w:ascii="Dark Courier" w:hAnsi="Dark Courier"/>
          <w:bCs/>
        </w:rPr>
        <w:t>7</w:t>
      </w:r>
      <w:r>
        <w:rPr>
          <w:rFonts w:ascii="Dark Courier" w:hAnsi="Dark Courier"/>
          <w:bCs/>
        </w:rPr>
        <w:t>)</w:t>
      </w:r>
      <w:r w:rsidRPr="00DE357B">
        <w:rPr>
          <w:rFonts w:ascii="Dark Courier" w:hAnsi="Dark Courier"/>
          <w:bCs/>
        </w:rPr>
        <w:t xml:space="preserve"> counts of Reckless Endangerment (M2), </w:t>
      </w:r>
      <w:r>
        <w:rPr>
          <w:rFonts w:ascii="Dark Courier" w:hAnsi="Dark Courier"/>
          <w:bCs/>
        </w:rPr>
        <w:t>three (</w:t>
      </w:r>
      <w:r w:rsidRPr="00DE357B">
        <w:rPr>
          <w:rFonts w:ascii="Dark Courier" w:hAnsi="Dark Courier"/>
          <w:bCs/>
        </w:rPr>
        <w:t>3</w:t>
      </w:r>
      <w:r>
        <w:rPr>
          <w:rFonts w:ascii="Dark Courier" w:hAnsi="Dark Courier"/>
          <w:bCs/>
        </w:rPr>
        <w:t>)</w:t>
      </w:r>
      <w:r w:rsidRPr="00DE357B">
        <w:rPr>
          <w:rFonts w:ascii="Dark Courier" w:hAnsi="Dark Courier"/>
          <w:bCs/>
        </w:rPr>
        <w:t xml:space="preserve"> counts of Discharge of a Firearm into an Occupied Structure (F3), and one count of </w:t>
      </w:r>
      <w:r w:rsidRPr="00DE357B">
        <w:rPr>
          <w:rFonts w:ascii="Dark Courier" w:hAnsi="Dark Courier"/>
          <w:bCs/>
        </w:rPr>
        <w:lastRenderedPageBreak/>
        <w:t>Possession of Instruments of Crime (M1)</w:t>
      </w:r>
      <w:r w:rsidR="00D72407">
        <w:rPr>
          <w:rStyle w:val="FootnoteReference"/>
          <w:rFonts w:ascii="Dark Courier" w:hAnsi="Dark Courier"/>
          <w:bCs/>
        </w:rPr>
        <w:footnoteReference w:id="1"/>
      </w:r>
      <w:r w:rsidRPr="00DE357B">
        <w:rPr>
          <w:rFonts w:ascii="Dark Courier" w:hAnsi="Dark Courier"/>
          <w:bCs/>
        </w:rPr>
        <w:t xml:space="preserve">. </w:t>
      </w:r>
      <w:r w:rsidR="00B438A6">
        <w:rPr>
          <w:rFonts w:ascii="Dark Courier" w:hAnsi="Dark Courier"/>
          <w:bCs/>
        </w:rPr>
        <w:t>In support of the charges, the affidavit of probable c</w:t>
      </w:r>
      <w:r w:rsidRPr="00DE357B">
        <w:rPr>
          <w:rFonts w:ascii="Dark Courier" w:hAnsi="Dark Courier"/>
          <w:bCs/>
        </w:rPr>
        <w:t>ause states that Weatherly Police responded to a call of shots fired on February 13, 2011 at 2:55 a.m. in the area of 327 Yeakle Street. The police found that three</w:t>
      </w:r>
      <w:r w:rsidR="00B438A6">
        <w:rPr>
          <w:rFonts w:ascii="Dark Courier" w:hAnsi="Dark Courier"/>
          <w:bCs/>
        </w:rPr>
        <w:t xml:space="preserve"> (3)</w:t>
      </w:r>
      <w:r w:rsidRPr="00DE357B">
        <w:rPr>
          <w:rFonts w:ascii="Dark Courier" w:hAnsi="Dark Courier"/>
          <w:bCs/>
        </w:rPr>
        <w:t xml:space="preserve"> houses, a garage, a vehicle and a utility pole were hit with rounds fired from a </w:t>
      </w:r>
      <w:r w:rsidR="006A6EC2">
        <w:rPr>
          <w:rFonts w:ascii="Dark Courier" w:hAnsi="Dark Courier"/>
          <w:bCs/>
        </w:rPr>
        <w:t>.</w:t>
      </w:r>
      <w:r w:rsidRPr="00DE357B">
        <w:rPr>
          <w:rFonts w:ascii="Dark Courier" w:hAnsi="Dark Courier"/>
          <w:bCs/>
        </w:rPr>
        <w:t xml:space="preserve">9mm firearm and a .22 caliber firearm. The three homes struck were 319 </w:t>
      </w:r>
      <w:proofErr w:type="spellStart"/>
      <w:r w:rsidRPr="00DE357B">
        <w:rPr>
          <w:rFonts w:ascii="Dark Courier" w:hAnsi="Dark Courier"/>
          <w:bCs/>
        </w:rPr>
        <w:t>Yeakle</w:t>
      </w:r>
      <w:proofErr w:type="spellEnd"/>
      <w:r w:rsidR="00B438A6">
        <w:rPr>
          <w:rFonts w:ascii="Dark Courier" w:hAnsi="Dark Courier"/>
          <w:bCs/>
        </w:rPr>
        <w:t xml:space="preserve"> Street</w:t>
      </w:r>
      <w:r w:rsidRPr="00DE357B">
        <w:rPr>
          <w:rFonts w:ascii="Dark Courier" w:hAnsi="Dark Courier"/>
          <w:bCs/>
        </w:rPr>
        <w:t xml:space="preserve">, 327 </w:t>
      </w:r>
      <w:proofErr w:type="spellStart"/>
      <w:r w:rsidRPr="00DE357B">
        <w:rPr>
          <w:rFonts w:ascii="Dark Courier" w:hAnsi="Dark Courier"/>
          <w:bCs/>
        </w:rPr>
        <w:t>Yeakle</w:t>
      </w:r>
      <w:proofErr w:type="spellEnd"/>
      <w:r w:rsidR="00B438A6">
        <w:rPr>
          <w:rFonts w:ascii="Dark Courier" w:hAnsi="Dark Courier"/>
          <w:bCs/>
        </w:rPr>
        <w:t xml:space="preserve"> Street</w:t>
      </w:r>
      <w:r w:rsidRPr="00DE357B">
        <w:rPr>
          <w:rFonts w:ascii="Dark Courier" w:hAnsi="Dark Courier"/>
          <w:bCs/>
        </w:rPr>
        <w:t xml:space="preserve"> and 335 </w:t>
      </w:r>
      <w:proofErr w:type="spellStart"/>
      <w:r w:rsidRPr="00DE357B">
        <w:rPr>
          <w:rFonts w:ascii="Dark Courier" w:hAnsi="Dark Courier"/>
          <w:bCs/>
        </w:rPr>
        <w:t>Yeakle</w:t>
      </w:r>
      <w:proofErr w:type="spellEnd"/>
      <w:r w:rsidR="00B438A6">
        <w:rPr>
          <w:rFonts w:ascii="Dark Courier" w:hAnsi="Dark Courier"/>
          <w:bCs/>
        </w:rPr>
        <w:t xml:space="preserve"> Street</w:t>
      </w:r>
      <w:r w:rsidRPr="00DE357B">
        <w:rPr>
          <w:rFonts w:ascii="Dark Courier" w:hAnsi="Dark Courier"/>
          <w:bCs/>
        </w:rPr>
        <w:t xml:space="preserve">. The vehicle that was hit was parked in front of 319 </w:t>
      </w:r>
      <w:proofErr w:type="spellStart"/>
      <w:r w:rsidRPr="00DE357B">
        <w:rPr>
          <w:rFonts w:ascii="Dark Courier" w:hAnsi="Dark Courier"/>
          <w:bCs/>
        </w:rPr>
        <w:t>Yeakle</w:t>
      </w:r>
      <w:proofErr w:type="spellEnd"/>
      <w:r w:rsidR="00B438A6">
        <w:rPr>
          <w:rFonts w:ascii="Dark Courier" w:hAnsi="Dark Courier"/>
          <w:bCs/>
        </w:rPr>
        <w:t xml:space="preserve"> Street</w:t>
      </w:r>
      <w:r w:rsidRPr="00DE357B">
        <w:rPr>
          <w:rFonts w:ascii="Dark Courier" w:hAnsi="Dark Courier"/>
          <w:bCs/>
        </w:rPr>
        <w:t xml:space="preserve"> and was owned by the owner of that residence. The Barnic family owns 319 </w:t>
      </w:r>
      <w:proofErr w:type="spellStart"/>
      <w:r w:rsidRPr="00DE357B">
        <w:rPr>
          <w:rFonts w:ascii="Dark Courier" w:hAnsi="Dark Courier"/>
          <w:bCs/>
        </w:rPr>
        <w:t>Yeakle</w:t>
      </w:r>
      <w:proofErr w:type="spellEnd"/>
      <w:r w:rsidR="00B438A6">
        <w:rPr>
          <w:rFonts w:ascii="Dark Courier" w:hAnsi="Dark Courier"/>
          <w:bCs/>
        </w:rPr>
        <w:t xml:space="preserve"> Street</w:t>
      </w:r>
      <w:r w:rsidRPr="00DE357B">
        <w:rPr>
          <w:rFonts w:ascii="Dark Courier" w:hAnsi="Dark Courier"/>
          <w:bCs/>
        </w:rPr>
        <w:t xml:space="preserve">, and they were found to be sleeping at home. The owners of 335 </w:t>
      </w:r>
      <w:proofErr w:type="spellStart"/>
      <w:r w:rsidRPr="00DE357B">
        <w:rPr>
          <w:rFonts w:ascii="Dark Courier" w:hAnsi="Dark Courier"/>
          <w:bCs/>
        </w:rPr>
        <w:t>Yeakle</w:t>
      </w:r>
      <w:proofErr w:type="spellEnd"/>
      <w:r w:rsidR="00B438A6">
        <w:rPr>
          <w:rFonts w:ascii="Dark Courier" w:hAnsi="Dark Courier"/>
          <w:bCs/>
        </w:rPr>
        <w:t xml:space="preserve"> Street</w:t>
      </w:r>
      <w:r w:rsidRPr="00DE357B">
        <w:rPr>
          <w:rFonts w:ascii="Dark Courier" w:hAnsi="Dark Courier"/>
          <w:bCs/>
        </w:rPr>
        <w:t xml:space="preserve">, the </w:t>
      </w:r>
      <w:proofErr w:type="spellStart"/>
      <w:r w:rsidRPr="00DE357B">
        <w:rPr>
          <w:rFonts w:ascii="Dark Courier" w:hAnsi="Dark Courier"/>
          <w:bCs/>
        </w:rPr>
        <w:t>Powells</w:t>
      </w:r>
      <w:proofErr w:type="spellEnd"/>
      <w:r w:rsidRPr="00DE357B">
        <w:rPr>
          <w:rFonts w:ascii="Dark Courier" w:hAnsi="Dark Courier"/>
          <w:bCs/>
        </w:rPr>
        <w:t xml:space="preserve">, were also asleep at the time of the shooting. No one was home at 327 </w:t>
      </w:r>
      <w:proofErr w:type="spellStart"/>
      <w:r w:rsidRPr="00DE357B">
        <w:rPr>
          <w:rFonts w:ascii="Dark Courier" w:hAnsi="Dark Courier"/>
          <w:bCs/>
        </w:rPr>
        <w:t>Yeakle</w:t>
      </w:r>
      <w:proofErr w:type="spellEnd"/>
      <w:r w:rsidR="00B438A6">
        <w:rPr>
          <w:rFonts w:ascii="Dark Courier" w:hAnsi="Dark Courier"/>
          <w:bCs/>
        </w:rPr>
        <w:t xml:space="preserve"> Street</w:t>
      </w:r>
      <w:r w:rsidRPr="00DE357B">
        <w:rPr>
          <w:rFonts w:ascii="Dark Courier" w:hAnsi="Dark Courier"/>
          <w:bCs/>
        </w:rPr>
        <w:t xml:space="preserve"> at the time of the shooting. </w:t>
      </w:r>
    </w:p>
    <w:p w:rsidR="0058216F" w:rsidRDefault="00B438A6" w:rsidP="00D72407">
      <w:pPr>
        <w:spacing w:line="480" w:lineRule="auto"/>
        <w:ind w:firstLine="720"/>
        <w:jc w:val="both"/>
        <w:rPr>
          <w:rFonts w:ascii="Dark Courier" w:hAnsi="Dark Courier"/>
          <w:bCs/>
        </w:rPr>
      </w:pPr>
      <w:r>
        <w:rPr>
          <w:rFonts w:ascii="Dark Courier" w:hAnsi="Dark Courier"/>
          <w:bCs/>
        </w:rPr>
        <w:t>According to t</w:t>
      </w:r>
      <w:r w:rsidR="00DE357B" w:rsidRPr="00DE357B">
        <w:rPr>
          <w:rFonts w:ascii="Dark Courier" w:hAnsi="Dark Courier"/>
          <w:bCs/>
        </w:rPr>
        <w:t>he</w:t>
      </w:r>
      <w:r>
        <w:rPr>
          <w:rFonts w:ascii="Dark Courier" w:hAnsi="Dark Courier"/>
          <w:bCs/>
        </w:rPr>
        <w:t xml:space="preserve"> a</w:t>
      </w:r>
      <w:r w:rsidR="0058216F">
        <w:rPr>
          <w:rFonts w:ascii="Dark Courier" w:hAnsi="Dark Courier"/>
          <w:bCs/>
        </w:rPr>
        <w:t>ffidavit</w:t>
      </w:r>
      <w:r>
        <w:rPr>
          <w:rFonts w:ascii="Dark Courier" w:hAnsi="Dark Courier"/>
          <w:bCs/>
        </w:rPr>
        <w:t xml:space="preserve">, </w:t>
      </w:r>
      <w:r w:rsidR="0058216F">
        <w:rPr>
          <w:rFonts w:ascii="Dark Courier" w:hAnsi="Dark Courier"/>
          <w:bCs/>
        </w:rPr>
        <w:t>the</w:t>
      </w:r>
      <w:r w:rsidR="00DE357B" w:rsidRPr="00DE357B">
        <w:rPr>
          <w:rFonts w:ascii="Dark Courier" w:hAnsi="Dark Courier"/>
          <w:bCs/>
        </w:rPr>
        <w:t xml:space="preserve"> police discovered that the shots were fired from the north of the three residences, where they found </w:t>
      </w:r>
      <w:r>
        <w:rPr>
          <w:rFonts w:ascii="Dark Courier" w:hAnsi="Dark Courier"/>
          <w:bCs/>
        </w:rPr>
        <w:t>.</w:t>
      </w:r>
      <w:r w:rsidR="00DE357B" w:rsidRPr="00DE357B">
        <w:rPr>
          <w:rFonts w:ascii="Dark Courier" w:hAnsi="Dark Courier"/>
          <w:bCs/>
        </w:rPr>
        <w:t>9mm and .22 caliber shell casings. They determined that the vehicle was struck by four</w:t>
      </w:r>
      <w:r w:rsidR="008D1CD2">
        <w:rPr>
          <w:rFonts w:ascii="Dark Courier" w:hAnsi="Dark Courier"/>
          <w:bCs/>
        </w:rPr>
        <w:t xml:space="preserve"> (4) bullets</w:t>
      </w:r>
      <w:r w:rsidR="00DE357B" w:rsidRPr="00DE357B">
        <w:rPr>
          <w:rFonts w:ascii="Dark Courier" w:hAnsi="Dark Courier"/>
          <w:bCs/>
        </w:rPr>
        <w:t xml:space="preserve"> and that 319 </w:t>
      </w:r>
      <w:proofErr w:type="spellStart"/>
      <w:r w:rsidR="00DE357B" w:rsidRPr="00DE357B">
        <w:rPr>
          <w:rFonts w:ascii="Dark Courier" w:hAnsi="Dark Courier"/>
          <w:bCs/>
        </w:rPr>
        <w:t>Yeakle</w:t>
      </w:r>
      <w:proofErr w:type="spellEnd"/>
      <w:r>
        <w:rPr>
          <w:rFonts w:ascii="Dark Courier" w:hAnsi="Dark Courier"/>
          <w:bCs/>
        </w:rPr>
        <w:t xml:space="preserve"> Street</w:t>
      </w:r>
      <w:r w:rsidR="00DE357B" w:rsidRPr="00DE357B">
        <w:rPr>
          <w:rFonts w:ascii="Dark Courier" w:hAnsi="Dark Courier"/>
          <w:bCs/>
        </w:rPr>
        <w:t xml:space="preserve"> was struck by five</w:t>
      </w:r>
      <w:r>
        <w:rPr>
          <w:rFonts w:ascii="Dark Courier" w:hAnsi="Dark Courier"/>
          <w:bCs/>
        </w:rPr>
        <w:t xml:space="preserve"> (5)</w:t>
      </w:r>
      <w:r w:rsidR="00DE357B" w:rsidRPr="00DE357B">
        <w:rPr>
          <w:rFonts w:ascii="Dark Courier" w:hAnsi="Dark Courier"/>
          <w:bCs/>
        </w:rPr>
        <w:t xml:space="preserve"> bullets, with two</w:t>
      </w:r>
      <w:r>
        <w:rPr>
          <w:rFonts w:ascii="Dark Courier" w:hAnsi="Dark Courier"/>
          <w:bCs/>
        </w:rPr>
        <w:t xml:space="preserve"> (2)</w:t>
      </w:r>
      <w:r w:rsidR="00DE357B" w:rsidRPr="00DE357B">
        <w:rPr>
          <w:rFonts w:ascii="Dark Courier" w:hAnsi="Dark Courier"/>
          <w:bCs/>
        </w:rPr>
        <w:t xml:space="preserve"> hitting the front banister, one</w:t>
      </w:r>
      <w:r>
        <w:rPr>
          <w:rFonts w:ascii="Dark Courier" w:hAnsi="Dark Courier"/>
          <w:bCs/>
        </w:rPr>
        <w:t xml:space="preserve"> (1)</w:t>
      </w:r>
      <w:r w:rsidR="00DE357B" w:rsidRPr="00DE357B">
        <w:rPr>
          <w:rFonts w:ascii="Dark Courier" w:hAnsi="Dark Courier"/>
          <w:bCs/>
        </w:rPr>
        <w:t xml:space="preserve"> hitting the side of the house near a bedroom, one</w:t>
      </w:r>
      <w:r>
        <w:rPr>
          <w:rFonts w:ascii="Dark Courier" w:hAnsi="Dark Courier"/>
          <w:bCs/>
        </w:rPr>
        <w:t xml:space="preserve"> (1)</w:t>
      </w:r>
      <w:r w:rsidR="00DE357B" w:rsidRPr="00DE357B">
        <w:rPr>
          <w:rFonts w:ascii="Dark Courier" w:hAnsi="Dark Courier"/>
          <w:bCs/>
        </w:rPr>
        <w:t xml:space="preserve"> hitting the front porch awning, and one</w:t>
      </w:r>
      <w:r>
        <w:rPr>
          <w:rFonts w:ascii="Dark Courier" w:hAnsi="Dark Courier"/>
          <w:bCs/>
        </w:rPr>
        <w:t xml:space="preserve"> (1)</w:t>
      </w:r>
      <w:r w:rsidR="00DE357B" w:rsidRPr="00DE357B">
        <w:rPr>
          <w:rFonts w:ascii="Dark Courier" w:hAnsi="Dark Courier"/>
          <w:bCs/>
        </w:rPr>
        <w:t xml:space="preserve"> becoming lodged in the wall inches away from where the owners’ </w:t>
      </w:r>
      <w:r>
        <w:rPr>
          <w:rFonts w:ascii="Dark Courier" w:hAnsi="Dark Courier"/>
          <w:bCs/>
        </w:rPr>
        <w:t xml:space="preserve">infant </w:t>
      </w:r>
      <w:r w:rsidR="00DE357B" w:rsidRPr="00DE357B">
        <w:rPr>
          <w:rFonts w:ascii="Dark Courier" w:hAnsi="Dark Courier"/>
          <w:bCs/>
        </w:rPr>
        <w:t xml:space="preserve">child was sleeping. They also determined that </w:t>
      </w:r>
      <w:r w:rsidR="00DE357B" w:rsidRPr="00DE357B">
        <w:rPr>
          <w:rFonts w:ascii="Dark Courier" w:hAnsi="Dark Courier"/>
          <w:bCs/>
        </w:rPr>
        <w:lastRenderedPageBreak/>
        <w:t xml:space="preserve">327 </w:t>
      </w:r>
      <w:proofErr w:type="spellStart"/>
      <w:r w:rsidR="00DE357B" w:rsidRPr="00DE357B">
        <w:rPr>
          <w:rFonts w:ascii="Dark Courier" w:hAnsi="Dark Courier"/>
          <w:bCs/>
        </w:rPr>
        <w:t>Yeakle</w:t>
      </w:r>
      <w:proofErr w:type="spellEnd"/>
      <w:r w:rsidR="00DE357B" w:rsidRPr="00DE357B">
        <w:rPr>
          <w:rFonts w:ascii="Dark Courier" w:hAnsi="Dark Courier"/>
          <w:bCs/>
        </w:rPr>
        <w:t xml:space="preserve"> </w:t>
      </w:r>
      <w:r>
        <w:rPr>
          <w:rFonts w:ascii="Dark Courier" w:hAnsi="Dark Courier"/>
          <w:bCs/>
        </w:rPr>
        <w:t xml:space="preserve">Street </w:t>
      </w:r>
      <w:r w:rsidR="00DE357B" w:rsidRPr="00DE357B">
        <w:rPr>
          <w:rFonts w:ascii="Dark Courier" w:hAnsi="Dark Courier"/>
          <w:bCs/>
        </w:rPr>
        <w:t>was struck by one</w:t>
      </w:r>
      <w:r>
        <w:rPr>
          <w:rFonts w:ascii="Dark Courier" w:hAnsi="Dark Courier"/>
          <w:bCs/>
        </w:rPr>
        <w:t xml:space="preserve"> (1)</w:t>
      </w:r>
      <w:r w:rsidR="00DE357B" w:rsidRPr="00DE357B">
        <w:rPr>
          <w:rFonts w:ascii="Dark Courier" w:hAnsi="Dark Courier"/>
          <w:bCs/>
        </w:rPr>
        <w:t xml:space="preserve"> bullet, to the left of the front door, and the home’s garage was struck by two</w:t>
      </w:r>
      <w:r w:rsidR="008D1CD2">
        <w:rPr>
          <w:rFonts w:ascii="Dark Courier" w:hAnsi="Dark Courier"/>
          <w:bCs/>
        </w:rPr>
        <w:t xml:space="preserve"> (2) bullets,</w:t>
      </w:r>
      <w:r w:rsidR="00DE357B" w:rsidRPr="00DE357B">
        <w:rPr>
          <w:rFonts w:ascii="Dark Courier" w:hAnsi="Dark Courier"/>
          <w:bCs/>
        </w:rPr>
        <w:t xml:space="preserve"> and that 335 </w:t>
      </w:r>
      <w:proofErr w:type="spellStart"/>
      <w:r w:rsidR="00DE357B" w:rsidRPr="00DE357B">
        <w:rPr>
          <w:rFonts w:ascii="Dark Courier" w:hAnsi="Dark Courier"/>
          <w:bCs/>
        </w:rPr>
        <w:t>Yeakle</w:t>
      </w:r>
      <w:proofErr w:type="spellEnd"/>
      <w:r>
        <w:rPr>
          <w:rFonts w:ascii="Dark Courier" w:hAnsi="Dark Courier"/>
          <w:bCs/>
        </w:rPr>
        <w:t xml:space="preserve"> Street</w:t>
      </w:r>
      <w:r w:rsidR="00DE357B" w:rsidRPr="00DE357B">
        <w:rPr>
          <w:rFonts w:ascii="Dark Courier" w:hAnsi="Dark Courier"/>
          <w:bCs/>
        </w:rPr>
        <w:t xml:space="preserve"> was struck by one</w:t>
      </w:r>
      <w:r>
        <w:rPr>
          <w:rFonts w:ascii="Dark Courier" w:hAnsi="Dark Courier"/>
          <w:bCs/>
        </w:rPr>
        <w:t xml:space="preserve"> (1)</w:t>
      </w:r>
      <w:r w:rsidR="00DE357B" w:rsidRPr="00DE357B">
        <w:rPr>
          <w:rFonts w:ascii="Dark Courier" w:hAnsi="Dark Courier"/>
          <w:bCs/>
        </w:rPr>
        <w:t xml:space="preserve"> bullet that became lodged between the two</w:t>
      </w:r>
      <w:r w:rsidR="003D2B98">
        <w:rPr>
          <w:rFonts w:ascii="Dark Courier" w:hAnsi="Dark Courier"/>
          <w:bCs/>
        </w:rPr>
        <w:t xml:space="preserve"> (2)</w:t>
      </w:r>
      <w:r w:rsidR="00DE357B" w:rsidRPr="00DE357B">
        <w:rPr>
          <w:rFonts w:ascii="Dark Courier" w:hAnsi="Dark Courier"/>
          <w:bCs/>
        </w:rPr>
        <w:t xml:space="preserve"> do</w:t>
      </w:r>
      <w:r w:rsidR="00D72407">
        <w:rPr>
          <w:rFonts w:ascii="Dark Courier" w:hAnsi="Dark Courier"/>
          <w:bCs/>
        </w:rPr>
        <w:t>wnstairs windows</w:t>
      </w:r>
      <w:r w:rsidR="00A50F08" w:rsidRPr="00A50F08">
        <w:rPr>
          <w:rFonts w:ascii="Dark Courier" w:hAnsi="Dark Courier"/>
          <w:bCs/>
        </w:rPr>
        <w:t xml:space="preserve">. </w:t>
      </w:r>
      <w:r w:rsidR="00D72407" w:rsidRPr="00D72407">
        <w:rPr>
          <w:rFonts w:ascii="Dark Courier" w:hAnsi="Dark Courier"/>
          <w:bCs/>
        </w:rPr>
        <w:t xml:space="preserve">The </w:t>
      </w:r>
      <w:r>
        <w:rPr>
          <w:rFonts w:ascii="Dark Courier" w:hAnsi="Dark Courier"/>
          <w:bCs/>
        </w:rPr>
        <w:t>a</w:t>
      </w:r>
      <w:r w:rsidR="0058216F">
        <w:rPr>
          <w:rFonts w:ascii="Dark Courier" w:hAnsi="Dark Courier"/>
          <w:bCs/>
        </w:rPr>
        <w:t xml:space="preserve">ffidavit </w:t>
      </w:r>
      <w:r w:rsidR="008001E7">
        <w:rPr>
          <w:rFonts w:ascii="Dark Courier" w:hAnsi="Dark Courier"/>
          <w:bCs/>
        </w:rPr>
        <w:t xml:space="preserve">also contains averments in support of the Commonwealth’s position that </w:t>
      </w:r>
      <w:r w:rsidR="0058216F">
        <w:rPr>
          <w:rFonts w:ascii="Dark Courier" w:hAnsi="Dark Courier"/>
          <w:bCs/>
        </w:rPr>
        <w:t xml:space="preserve">the </w:t>
      </w:r>
      <w:r w:rsidR="00D72407" w:rsidRPr="00D72407">
        <w:rPr>
          <w:rFonts w:ascii="Dark Courier" w:hAnsi="Dark Courier"/>
          <w:bCs/>
        </w:rPr>
        <w:t>Defendant</w:t>
      </w:r>
      <w:r w:rsidR="00C16B2E">
        <w:rPr>
          <w:rFonts w:ascii="Dark Courier" w:hAnsi="Dark Courier"/>
          <w:bCs/>
        </w:rPr>
        <w:t xml:space="preserve">, </w:t>
      </w:r>
      <w:r w:rsidR="00C16B2E" w:rsidRPr="00D72407">
        <w:rPr>
          <w:rFonts w:ascii="Dark Courier" w:hAnsi="Dark Courier"/>
          <w:bCs/>
        </w:rPr>
        <w:t>James M. Delbo</w:t>
      </w:r>
      <w:r w:rsidR="00C16B2E">
        <w:rPr>
          <w:rFonts w:ascii="Dark Courier" w:hAnsi="Dark Courier"/>
          <w:bCs/>
        </w:rPr>
        <w:t>,</w:t>
      </w:r>
      <w:r w:rsidR="00D72407" w:rsidRPr="00D72407">
        <w:rPr>
          <w:rFonts w:ascii="Dark Courier" w:hAnsi="Dark Courier"/>
          <w:bCs/>
        </w:rPr>
        <w:t xml:space="preserve"> Joshua Zink and Andrew Ortiz were together on the night of the shooting </w:t>
      </w:r>
      <w:r w:rsidR="008001E7">
        <w:rPr>
          <w:rFonts w:ascii="Dark Courier" w:hAnsi="Dark Courier"/>
          <w:bCs/>
        </w:rPr>
        <w:t xml:space="preserve">and </w:t>
      </w:r>
      <w:r w:rsidR="00D72407" w:rsidRPr="00D72407">
        <w:rPr>
          <w:rFonts w:ascii="Dark Courier" w:hAnsi="Dark Courier"/>
          <w:bCs/>
        </w:rPr>
        <w:t xml:space="preserve">agreed to shoot up </w:t>
      </w:r>
      <w:r w:rsidR="008001E7">
        <w:rPr>
          <w:rFonts w:ascii="Dark Courier" w:hAnsi="Dark Courier"/>
          <w:bCs/>
        </w:rPr>
        <w:t xml:space="preserve">the residence of Matt </w:t>
      </w:r>
      <w:r w:rsidR="00D72407" w:rsidRPr="00D72407">
        <w:rPr>
          <w:rFonts w:ascii="Dark Courier" w:hAnsi="Dark Courier"/>
          <w:bCs/>
        </w:rPr>
        <w:t>Sipler</w:t>
      </w:r>
      <w:r w:rsidR="008001E7">
        <w:rPr>
          <w:rFonts w:ascii="Dark Courier" w:hAnsi="Dark Courier"/>
          <w:bCs/>
        </w:rPr>
        <w:t xml:space="preserve"> located on Yeakle Street in Weatherly</w:t>
      </w:r>
      <w:r w:rsidR="00D72407" w:rsidRPr="00D72407">
        <w:rPr>
          <w:rFonts w:ascii="Dark Courier" w:hAnsi="Dark Courier"/>
          <w:bCs/>
        </w:rPr>
        <w:t xml:space="preserve">. </w:t>
      </w:r>
    </w:p>
    <w:p w:rsidR="00D32CF7" w:rsidRDefault="00FE20CC" w:rsidP="00FE20CC">
      <w:pPr>
        <w:pStyle w:val="BodyText"/>
        <w:spacing w:line="480" w:lineRule="auto"/>
        <w:ind w:firstLine="720"/>
        <w:jc w:val="both"/>
        <w:rPr>
          <w:rFonts w:ascii="Dark Courier" w:hAnsi="Dark Courier"/>
          <w:b w:val="0"/>
        </w:rPr>
      </w:pPr>
      <w:r w:rsidRPr="00FE20CC">
        <w:rPr>
          <w:rFonts w:ascii="Dark Courier" w:hAnsi="Dark Courier"/>
          <w:b w:val="0"/>
          <w:bCs w:val="0"/>
        </w:rPr>
        <w:t xml:space="preserve">Prior to filing the </w:t>
      </w:r>
      <w:r w:rsidR="00B438A6">
        <w:rPr>
          <w:rFonts w:ascii="Dark Courier" w:hAnsi="Dark Courier"/>
          <w:b w:val="0"/>
          <w:bCs w:val="0"/>
        </w:rPr>
        <w:t>c</w:t>
      </w:r>
      <w:r w:rsidRPr="00FE20CC">
        <w:rPr>
          <w:rFonts w:ascii="Dark Courier" w:hAnsi="Dark Courier"/>
          <w:b w:val="0"/>
          <w:bCs w:val="0"/>
        </w:rPr>
        <w:t xml:space="preserve">riminal </w:t>
      </w:r>
      <w:r w:rsidR="00B438A6">
        <w:rPr>
          <w:rFonts w:ascii="Dark Courier" w:hAnsi="Dark Courier"/>
          <w:b w:val="0"/>
          <w:bCs w:val="0"/>
        </w:rPr>
        <w:t>c</w:t>
      </w:r>
      <w:r w:rsidRPr="00FE20CC">
        <w:rPr>
          <w:rFonts w:ascii="Dark Courier" w:hAnsi="Dark Courier"/>
          <w:b w:val="0"/>
          <w:bCs w:val="0"/>
        </w:rPr>
        <w:t>omplaint in this matter, on March 2, 2011, Officer Bogart applied for and received a search warrant to search the residence located at 133 S</w:t>
      </w:r>
      <w:r w:rsidR="00B438A6">
        <w:rPr>
          <w:rFonts w:ascii="Dark Courier" w:hAnsi="Dark Courier"/>
          <w:b w:val="0"/>
          <w:bCs w:val="0"/>
        </w:rPr>
        <w:t>outh Hancock Street</w:t>
      </w:r>
      <w:r w:rsidRPr="00FE20CC">
        <w:rPr>
          <w:rFonts w:ascii="Dark Courier" w:hAnsi="Dark Courier"/>
          <w:b w:val="0"/>
          <w:bCs w:val="0"/>
        </w:rPr>
        <w:t>, McAdoo, Pennsylvania</w:t>
      </w:r>
      <w:r w:rsidR="002448FD">
        <w:rPr>
          <w:rFonts w:ascii="Dark Courier" w:hAnsi="Dark Courier"/>
          <w:b w:val="0"/>
          <w:bCs w:val="0"/>
        </w:rPr>
        <w:t xml:space="preserve"> where the Defendant, Jennifer Harris and James M. </w:t>
      </w:r>
      <w:proofErr w:type="spellStart"/>
      <w:r w:rsidR="002448FD">
        <w:rPr>
          <w:rFonts w:ascii="Dark Courier" w:hAnsi="Dark Courier"/>
          <w:b w:val="0"/>
          <w:bCs w:val="0"/>
        </w:rPr>
        <w:t>Delbo</w:t>
      </w:r>
      <w:proofErr w:type="spellEnd"/>
      <w:r w:rsidR="002448FD">
        <w:rPr>
          <w:rFonts w:ascii="Dark Courier" w:hAnsi="Dark Courier"/>
          <w:b w:val="0"/>
          <w:bCs w:val="0"/>
        </w:rPr>
        <w:t xml:space="preserve"> resided</w:t>
      </w:r>
      <w:r w:rsidRPr="00FE20CC">
        <w:rPr>
          <w:rFonts w:ascii="Dark Courier" w:hAnsi="Dark Courier"/>
          <w:b w:val="0"/>
          <w:bCs w:val="0"/>
        </w:rPr>
        <w:t xml:space="preserve">. </w:t>
      </w:r>
      <w:proofErr w:type="gramStart"/>
      <w:r w:rsidR="00BB7607">
        <w:rPr>
          <w:rFonts w:ascii="Dark Courier" w:hAnsi="Dark Courier"/>
          <w:b w:val="0"/>
          <w:bCs w:val="0"/>
        </w:rPr>
        <w:t>(See Commonwealth’s Exhibit 3).</w:t>
      </w:r>
      <w:proofErr w:type="gramEnd"/>
      <w:r w:rsidR="00BB7607">
        <w:rPr>
          <w:rFonts w:ascii="Dark Courier" w:hAnsi="Dark Courier"/>
          <w:b w:val="0"/>
          <w:bCs w:val="0"/>
        </w:rPr>
        <w:t xml:space="preserve"> </w:t>
      </w:r>
      <w:r w:rsidR="00D32CF7">
        <w:rPr>
          <w:rFonts w:ascii="Dark Courier" w:hAnsi="Dark Courier"/>
          <w:b w:val="0"/>
          <w:bCs w:val="0"/>
        </w:rPr>
        <w:t>The</w:t>
      </w:r>
      <w:r w:rsidRPr="00C16B2E">
        <w:rPr>
          <w:rFonts w:ascii="Dark Courier" w:hAnsi="Dark Courier"/>
          <w:b w:val="0"/>
        </w:rPr>
        <w:t xml:space="preserve"> </w:t>
      </w:r>
      <w:r w:rsidR="00D32CF7">
        <w:rPr>
          <w:rFonts w:ascii="Dark Courier" w:hAnsi="Dark Courier"/>
          <w:b w:val="0"/>
        </w:rPr>
        <w:t xml:space="preserve">warrant </w:t>
      </w:r>
      <w:r w:rsidRPr="00C16B2E">
        <w:rPr>
          <w:rFonts w:ascii="Dark Courier" w:hAnsi="Dark Courier"/>
          <w:b w:val="0"/>
        </w:rPr>
        <w:t>describes the items to be searched for and seized and the place to be searched, and is sworn an</w:t>
      </w:r>
      <w:r w:rsidR="00B438A6">
        <w:rPr>
          <w:rFonts w:ascii="Dark Courier" w:hAnsi="Dark Courier"/>
          <w:b w:val="0"/>
        </w:rPr>
        <w:t>d subscribed before a magisterial district judge</w:t>
      </w:r>
      <w:r w:rsidRPr="00C16B2E">
        <w:rPr>
          <w:rFonts w:ascii="Dark Courier" w:hAnsi="Dark Courier"/>
          <w:b w:val="0"/>
        </w:rPr>
        <w:t xml:space="preserve">. </w:t>
      </w:r>
      <w:r w:rsidR="00B438A6">
        <w:rPr>
          <w:rFonts w:ascii="Dark Courier" w:hAnsi="Dark Courier"/>
          <w:b w:val="0"/>
        </w:rPr>
        <w:t>It is alleged in the</w:t>
      </w:r>
      <w:r w:rsidR="00D32CF7" w:rsidRPr="00C16B2E">
        <w:rPr>
          <w:rFonts w:ascii="Dark Courier" w:hAnsi="Dark Courier"/>
          <w:b w:val="0"/>
        </w:rPr>
        <w:t xml:space="preserve"> </w:t>
      </w:r>
      <w:r w:rsidR="00B438A6">
        <w:rPr>
          <w:rFonts w:ascii="Dark Courier" w:hAnsi="Dark Courier"/>
          <w:b w:val="0"/>
        </w:rPr>
        <w:t>affidavit of probable c</w:t>
      </w:r>
      <w:r w:rsidR="00D32CF7">
        <w:rPr>
          <w:rFonts w:ascii="Dark Courier" w:hAnsi="Dark Courier"/>
          <w:b w:val="0"/>
        </w:rPr>
        <w:t xml:space="preserve">ause attached to the </w:t>
      </w:r>
      <w:r w:rsidR="00D32CF7" w:rsidRPr="00C16B2E">
        <w:rPr>
          <w:rFonts w:ascii="Dark Courier" w:hAnsi="Dark Courier"/>
          <w:b w:val="0"/>
        </w:rPr>
        <w:t xml:space="preserve">warrant </w:t>
      </w:r>
      <w:r w:rsidR="00B438A6">
        <w:rPr>
          <w:rFonts w:ascii="Dark Courier" w:hAnsi="Dark Courier"/>
          <w:b w:val="0"/>
        </w:rPr>
        <w:t>application</w:t>
      </w:r>
      <w:r w:rsidRPr="00C16B2E">
        <w:rPr>
          <w:rFonts w:ascii="Dark Courier" w:hAnsi="Dark Courier"/>
          <w:b w:val="0"/>
        </w:rPr>
        <w:t xml:space="preserve"> that </w:t>
      </w:r>
      <w:r w:rsidR="00D32CF7">
        <w:rPr>
          <w:rFonts w:ascii="Dark Courier" w:hAnsi="Dark Courier"/>
          <w:b w:val="0"/>
        </w:rPr>
        <w:t xml:space="preserve">the </w:t>
      </w:r>
      <w:r w:rsidRPr="00C16B2E">
        <w:rPr>
          <w:rFonts w:ascii="Dark Courier" w:hAnsi="Dark Courier"/>
          <w:b w:val="0"/>
        </w:rPr>
        <w:t xml:space="preserve">Defendant was suspected of not getting along with James Delbo and Matthew Sipler of 327 Yeakle Street in Weatherly, where criminal activity was suspected. </w:t>
      </w:r>
      <w:r w:rsidR="00D32CF7">
        <w:rPr>
          <w:rFonts w:ascii="Dark Courier" w:hAnsi="Dark Courier"/>
          <w:b w:val="0"/>
        </w:rPr>
        <w:t xml:space="preserve">The </w:t>
      </w:r>
      <w:r w:rsidRPr="00C16B2E">
        <w:rPr>
          <w:rFonts w:ascii="Dark Courier" w:hAnsi="Dark Courier"/>
          <w:b w:val="0"/>
        </w:rPr>
        <w:t>Defendant was a frequent guest at the residence nonetheless, and ha</w:t>
      </w:r>
      <w:r w:rsidR="008C584A">
        <w:rPr>
          <w:rFonts w:ascii="Dark Courier" w:hAnsi="Dark Courier"/>
          <w:b w:val="0"/>
        </w:rPr>
        <w:t>d</w:t>
      </w:r>
      <w:r w:rsidRPr="00C16B2E">
        <w:rPr>
          <w:rFonts w:ascii="Dark Courier" w:hAnsi="Dark Courier"/>
          <w:b w:val="0"/>
        </w:rPr>
        <w:t xml:space="preserve"> displayed a firearm at them on at least one occasion. Delbo was charged with </w:t>
      </w:r>
      <w:r w:rsidRPr="00C16B2E">
        <w:rPr>
          <w:rFonts w:ascii="Dark Courier" w:hAnsi="Dark Courier"/>
          <w:b w:val="0"/>
        </w:rPr>
        <w:lastRenderedPageBreak/>
        <w:t>attempting to force his way into that residence</w:t>
      </w:r>
      <w:r w:rsidR="00B438A6">
        <w:rPr>
          <w:rFonts w:ascii="Dark Courier" w:hAnsi="Dark Courier"/>
          <w:b w:val="0"/>
        </w:rPr>
        <w:t xml:space="preserve"> with a .22 caliber rifle after having been evicted </w:t>
      </w:r>
      <w:proofErr w:type="spellStart"/>
      <w:r w:rsidR="00B438A6">
        <w:rPr>
          <w:rFonts w:ascii="Dark Courier" w:hAnsi="Dark Courier"/>
          <w:b w:val="0"/>
        </w:rPr>
        <w:t>therefrom</w:t>
      </w:r>
      <w:proofErr w:type="spellEnd"/>
      <w:r w:rsidRPr="00C16B2E">
        <w:rPr>
          <w:rFonts w:ascii="Dark Courier" w:hAnsi="Dark Courier"/>
          <w:b w:val="0"/>
        </w:rPr>
        <w:t xml:space="preserve">. </w:t>
      </w:r>
    </w:p>
    <w:p w:rsidR="00D32CF7" w:rsidRDefault="00B438A6" w:rsidP="00D32CF7">
      <w:pPr>
        <w:pStyle w:val="BodyText"/>
        <w:spacing w:line="480" w:lineRule="auto"/>
        <w:ind w:firstLine="720"/>
        <w:jc w:val="both"/>
        <w:rPr>
          <w:rFonts w:ascii="Dark Courier" w:hAnsi="Dark Courier"/>
          <w:b w:val="0"/>
        </w:rPr>
      </w:pPr>
      <w:r>
        <w:rPr>
          <w:rFonts w:ascii="Dark Courier" w:hAnsi="Dark Courier"/>
          <w:b w:val="0"/>
        </w:rPr>
        <w:t>The affidavit</w:t>
      </w:r>
      <w:r w:rsidR="00D32CF7">
        <w:rPr>
          <w:rFonts w:ascii="Dark Courier" w:hAnsi="Dark Courier"/>
          <w:b w:val="0"/>
        </w:rPr>
        <w:t xml:space="preserve"> also indicates that t</w:t>
      </w:r>
      <w:r w:rsidR="00FE20CC" w:rsidRPr="00C16B2E">
        <w:rPr>
          <w:rFonts w:ascii="Dark Courier" w:hAnsi="Dark Courier"/>
          <w:b w:val="0"/>
        </w:rPr>
        <w:t xml:space="preserve">he police were dispatched to 327 </w:t>
      </w:r>
      <w:proofErr w:type="spellStart"/>
      <w:r w:rsidR="00FE20CC" w:rsidRPr="00C16B2E">
        <w:rPr>
          <w:rFonts w:ascii="Dark Courier" w:hAnsi="Dark Courier"/>
          <w:b w:val="0"/>
        </w:rPr>
        <w:t>Yeakle</w:t>
      </w:r>
      <w:proofErr w:type="spellEnd"/>
      <w:r>
        <w:rPr>
          <w:rFonts w:ascii="Dark Courier" w:hAnsi="Dark Courier"/>
          <w:b w:val="0"/>
        </w:rPr>
        <w:t xml:space="preserve"> Street</w:t>
      </w:r>
      <w:r w:rsidR="00FE20CC" w:rsidRPr="00C16B2E">
        <w:rPr>
          <w:rFonts w:ascii="Dark Courier" w:hAnsi="Dark Courier"/>
          <w:b w:val="0"/>
        </w:rPr>
        <w:t xml:space="preserve"> on </w:t>
      </w:r>
      <w:r w:rsidR="00D32CF7">
        <w:rPr>
          <w:rFonts w:ascii="Dark Courier" w:hAnsi="Dark Courier"/>
          <w:b w:val="0"/>
        </w:rPr>
        <w:t>February 13, 20</w:t>
      </w:r>
      <w:r w:rsidR="00FE20CC" w:rsidRPr="00C16B2E">
        <w:rPr>
          <w:rFonts w:ascii="Dark Courier" w:hAnsi="Dark Courier"/>
          <w:b w:val="0"/>
        </w:rPr>
        <w:t xml:space="preserve">11 for a report of shots fired at that residence, and found that </w:t>
      </w:r>
      <w:r>
        <w:rPr>
          <w:rFonts w:ascii="Dark Courier" w:hAnsi="Dark Courier"/>
          <w:b w:val="0"/>
        </w:rPr>
        <w:t>four (</w:t>
      </w:r>
      <w:r w:rsidR="00FE20CC" w:rsidRPr="00C16B2E">
        <w:rPr>
          <w:rFonts w:ascii="Dark Courier" w:hAnsi="Dark Courier"/>
          <w:b w:val="0"/>
        </w:rPr>
        <w:t>4</w:t>
      </w:r>
      <w:r>
        <w:rPr>
          <w:rFonts w:ascii="Dark Courier" w:hAnsi="Dark Courier"/>
          <w:b w:val="0"/>
        </w:rPr>
        <w:t>)</w:t>
      </w:r>
      <w:r w:rsidR="00FE20CC" w:rsidRPr="00C16B2E">
        <w:rPr>
          <w:rFonts w:ascii="Dark Courier" w:hAnsi="Dark Courier"/>
          <w:b w:val="0"/>
        </w:rPr>
        <w:t xml:space="preserve"> of </w:t>
      </w:r>
      <w:r>
        <w:rPr>
          <w:rFonts w:ascii="Dark Courier" w:hAnsi="Dark Courier"/>
          <w:b w:val="0"/>
        </w:rPr>
        <w:t>nineteen (</w:t>
      </w:r>
      <w:r w:rsidR="00FE20CC" w:rsidRPr="00C16B2E">
        <w:rPr>
          <w:rFonts w:ascii="Dark Courier" w:hAnsi="Dark Courier"/>
          <w:b w:val="0"/>
        </w:rPr>
        <w:t>19</w:t>
      </w:r>
      <w:r>
        <w:rPr>
          <w:rFonts w:ascii="Dark Courier" w:hAnsi="Dark Courier"/>
          <w:b w:val="0"/>
        </w:rPr>
        <w:t>)</w:t>
      </w:r>
      <w:r w:rsidR="00FE20CC" w:rsidRPr="00C16B2E">
        <w:rPr>
          <w:rFonts w:ascii="Dark Courier" w:hAnsi="Dark Courier"/>
          <w:b w:val="0"/>
        </w:rPr>
        <w:t xml:space="preserve"> shots fired struck that residence. Shell casings were retrieved and determined to be from .9mm and .22 caliber bullets. In establishing the trajectory of the bullets, it was determined that the shots were fired from an elevated position, as if the shooter</w:t>
      </w:r>
      <w:r>
        <w:rPr>
          <w:rFonts w:ascii="Dark Courier" w:hAnsi="Dark Courier"/>
          <w:b w:val="0"/>
        </w:rPr>
        <w:t>s</w:t>
      </w:r>
      <w:r w:rsidR="00FE20CC" w:rsidRPr="00C16B2E">
        <w:rPr>
          <w:rFonts w:ascii="Dark Courier" w:hAnsi="Dark Courier"/>
          <w:b w:val="0"/>
        </w:rPr>
        <w:t xml:space="preserve"> were sitting/propped up against the window of an automobile. It is alleged that </w:t>
      </w:r>
      <w:r w:rsidR="00D32CF7">
        <w:rPr>
          <w:rFonts w:ascii="Dark Courier" w:hAnsi="Dark Courier"/>
          <w:b w:val="0"/>
        </w:rPr>
        <w:t xml:space="preserve">the </w:t>
      </w:r>
      <w:r w:rsidR="00FE20CC" w:rsidRPr="00C16B2E">
        <w:rPr>
          <w:rFonts w:ascii="Dark Courier" w:hAnsi="Dark Courier"/>
          <w:b w:val="0"/>
        </w:rPr>
        <w:t>Defendant and Delbo have a habit of driving around in vehicles and shooting hand guns from the window</w:t>
      </w:r>
      <w:r>
        <w:rPr>
          <w:rFonts w:ascii="Dark Courier" w:hAnsi="Dark Courier"/>
          <w:b w:val="0"/>
        </w:rPr>
        <w:t>s</w:t>
      </w:r>
      <w:r w:rsidR="00FE20CC" w:rsidRPr="00C16B2E">
        <w:rPr>
          <w:rFonts w:ascii="Dark Courier" w:hAnsi="Dark Courier"/>
          <w:b w:val="0"/>
        </w:rPr>
        <w:t>.</w:t>
      </w:r>
      <w:r>
        <w:rPr>
          <w:rFonts w:ascii="Dark Courier" w:hAnsi="Dark Courier"/>
          <w:b w:val="0"/>
        </w:rPr>
        <w:t xml:space="preserve"> Additionally, according to the affidavit</w:t>
      </w:r>
      <w:r w:rsidR="00D32CF7">
        <w:rPr>
          <w:rFonts w:ascii="Dark Courier" w:hAnsi="Dark Courier"/>
          <w:b w:val="0"/>
        </w:rPr>
        <w:t>, o</w:t>
      </w:r>
      <w:r w:rsidR="00FE20CC" w:rsidRPr="00C16B2E">
        <w:rPr>
          <w:rFonts w:ascii="Dark Courier" w:hAnsi="Dark Courier"/>
          <w:b w:val="0"/>
        </w:rPr>
        <w:t xml:space="preserve">n February 17, 2011, the police interviewed Sipler, who stated that he suspected that Delbo and </w:t>
      </w:r>
      <w:r w:rsidR="00D32CF7">
        <w:rPr>
          <w:rFonts w:ascii="Dark Courier" w:hAnsi="Dark Courier"/>
          <w:b w:val="0"/>
        </w:rPr>
        <w:t>the Defendant</w:t>
      </w:r>
      <w:r w:rsidR="00FE20CC" w:rsidRPr="00C16B2E">
        <w:rPr>
          <w:rFonts w:ascii="Dark Courier" w:hAnsi="Dark Courier"/>
          <w:b w:val="0"/>
        </w:rPr>
        <w:t xml:space="preserve"> committed the shooting. </w:t>
      </w:r>
      <w:r w:rsidR="00D32CF7">
        <w:rPr>
          <w:rFonts w:ascii="Dark Courier" w:hAnsi="Dark Courier"/>
          <w:b w:val="0"/>
        </w:rPr>
        <w:t>It also notes that, w</w:t>
      </w:r>
      <w:r w:rsidR="00FE20CC" w:rsidRPr="00C16B2E">
        <w:rPr>
          <w:rFonts w:ascii="Dark Courier" w:hAnsi="Dark Courier"/>
          <w:b w:val="0"/>
        </w:rPr>
        <w:t xml:space="preserve">ithin </w:t>
      </w:r>
      <w:r w:rsidR="00DD5262">
        <w:rPr>
          <w:rFonts w:ascii="Dark Courier" w:hAnsi="Dark Courier"/>
          <w:b w:val="0"/>
        </w:rPr>
        <w:t>twelve (</w:t>
      </w:r>
      <w:r w:rsidR="00FE20CC" w:rsidRPr="00C16B2E">
        <w:rPr>
          <w:rFonts w:ascii="Dark Courier" w:hAnsi="Dark Courier"/>
          <w:b w:val="0"/>
        </w:rPr>
        <w:t>12</w:t>
      </w:r>
      <w:r w:rsidR="00DD5262">
        <w:rPr>
          <w:rFonts w:ascii="Dark Courier" w:hAnsi="Dark Courier"/>
          <w:b w:val="0"/>
        </w:rPr>
        <w:t>)</w:t>
      </w:r>
      <w:r w:rsidR="00FE20CC" w:rsidRPr="00C16B2E">
        <w:rPr>
          <w:rFonts w:ascii="Dark Courier" w:hAnsi="Dark Courier"/>
          <w:b w:val="0"/>
        </w:rPr>
        <w:t xml:space="preserve"> hours of the shooting, </w:t>
      </w:r>
      <w:r w:rsidR="00D32CF7">
        <w:rPr>
          <w:rFonts w:ascii="Dark Courier" w:hAnsi="Dark Courier"/>
          <w:b w:val="0"/>
        </w:rPr>
        <w:t xml:space="preserve">the </w:t>
      </w:r>
      <w:r w:rsidR="00FE20CC" w:rsidRPr="00C16B2E">
        <w:rPr>
          <w:rFonts w:ascii="Dark Courier" w:hAnsi="Dark Courier"/>
          <w:b w:val="0"/>
        </w:rPr>
        <w:t xml:space="preserve">Defendant posted “I make it rain, bitch” on his </w:t>
      </w:r>
      <w:proofErr w:type="spellStart"/>
      <w:r w:rsidR="00FE20CC" w:rsidRPr="00C16B2E">
        <w:rPr>
          <w:rFonts w:ascii="Dark Courier" w:hAnsi="Dark Courier"/>
          <w:b w:val="0"/>
        </w:rPr>
        <w:t>Facebook</w:t>
      </w:r>
      <w:proofErr w:type="spellEnd"/>
      <w:r w:rsidR="00DD5262">
        <w:rPr>
          <w:rFonts w:ascii="Dark Courier" w:hAnsi="Dark Courier"/>
          <w:b w:val="0"/>
        </w:rPr>
        <w:t xml:space="preserve"> social networking</w:t>
      </w:r>
      <w:r w:rsidR="00FE20CC" w:rsidRPr="00C16B2E">
        <w:rPr>
          <w:rFonts w:ascii="Dark Courier" w:hAnsi="Dark Courier"/>
          <w:b w:val="0"/>
        </w:rPr>
        <w:t xml:space="preserve"> page. Interviews with neighbors revealed that none</w:t>
      </w:r>
      <w:r w:rsidR="00DD5262">
        <w:rPr>
          <w:rFonts w:ascii="Dark Courier" w:hAnsi="Dark Courier"/>
          <w:b w:val="0"/>
        </w:rPr>
        <w:t xml:space="preserve"> of them</w:t>
      </w:r>
      <w:r w:rsidR="00FE20CC" w:rsidRPr="00C16B2E">
        <w:rPr>
          <w:rFonts w:ascii="Dark Courier" w:hAnsi="Dark Courier"/>
          <w:b w:val="0"/>
        </w:rPr>
        <w:t xml:space="preserve"> had any enemies or a reason to believe that someone would shoot at their residences. </w:t>
      </w:r>
    </w:p>
    <w:p w:rsidR="00FE20CC" w:rsidRPr="00C16B2E" w:rsidRDefault="00DD5262" w:rsidP="00D32CF7">
      <w:pPr>
        <w:pStyle w:val="BodyText"/>
        <w:spacing w:line="480" w:lineRule="auto"/>
        <w:ind w:firstLine="720"/>
        <w:jc w:val="both"/>
        <w:rPr>
          <w:rFonts w:ascii="Dark Courier" w:hAnsi="Dark Courier"/>
          <w:b w:val="0"/>
        </w:rPr>
      </w:pPr>
      <w:r>
        <w:rPr>
          <w:rFonts w:ascii="Dark Courier" w:hAnsi="Dark Courier"/>
          <w:b w:val="0"/>
        </w:rPr>
        <w:t>The a</w:t>
      </w:r>
      <w:r w:rsidR="00D32CF7">
        <w:rPr>
          <w:rFonts w:ascii="Dark Courier" w:hAnsi="Dark Courier"/>
          <w:b w:val="0"/>
        </w:rPr>
        <w:t>ffidavit further alleges that, o</w:t>
      </w:r>
      <w:r w:rsidR="00FE20CC" w:rsidRPr="00C16B2E">
        <w:rPr>
          <w:rFonts w:ascii="Dark Courier" w:hAnsi="Dark Courier"/>
          <w:b w:val="0"/>
        </w:rPr>
        <w:t xml:space="preserve">n February 22, 2011, </w:t>
      </w:r>
      <w:r w:rsidR="00D32CF7">
        <w:rPr>
          <w:rFonts w:ascii="Dark Courier" w:hAnsi="Dark Courier"/>
          <w:b w:val="0"/>
        </w:rPr>
        <w:t xml:space="preserve">the </w:t>
      </w:r>
      <w:r w:rsidR="00FE20CC" w:rsidRPr="00C16B2E">
        <w:rPr>
          <w:rFonts w:ascii="Dark Courier" w:hAnsi="Dark Courier"/>
          <w:b w:val="0"/>
        </w:rPr>
        <w:t>Defendant</w:t>
      </w:r>
      <w:r>
        <w:rPr>
          <w:rFonts w:ascii="Dark Courier" w:hAnsi="Dark Courier"/>
          <w:b w:val="0"/>
        </w:rPr>
        <w:t xml:space="preserve">’s </w:t>
      </w:r>
      <w:r w:rsidR="002448FD">
        <w:rPr>
          <w:rFonts w:ascii="Dark Courier" w:hAnsi="Dark Courier"/>
          <w:b w:val="0"/>
        </w:rPr>
        <w:t>vehicle</w:t>
      </w:r>
      <w:r>
        <w:rPr>
          <w:rFonts w:ascii="Dark Courier" w:hAnsi="Dark Courier"/>
          <w:b w:val="0"/>
        </w:rPr>
        <w:t xml:space="preserve"> was stopped by the Pennsylvania</w:t>
      </w:r>
      <w:r w:rsidR="00FE20CC" w:rsidRPr="00C16B2E">
        <w:rPr>
          <w:rFonts w:ascii="Dark Courier" w:hAnsi="Dark Courier"/>
          <w:b w:val="0"/>
        </w:rPr>
        <w:t xml:space="preserve"> State Police in Lebanon County for a motor vehicle violation. As a result, </w:t>
      </w:r>
      <w:r>
        <w:rPr>
          <w:rFonts w:ascii="Dark Courier" w:hAnsi="Dark Courier"/>
          <w:b w:val="0"/>
        </w:rPr>
        <w:t>t</w:t>
      </w:r>
      <w:r w:rsidR="00FE20CC" w:rsidRPr="00C16B2E">
        <w:rPr>
          <w:rFonts w:ascii="Dark Courier" w:hAnsi="Dark Courier"/>
          <w:b w:val="0"/>
        </w:rPr>
        <w:t>he</w:t>
      </w:r>
      <w:r>
        <w:rPr>
          <w:rFonts w:ascii="Dark Courier" w:hAnsi="Dark Courier"/>
          <w:b w:val="0"/>
        </w:rPr>
        <w:t xml:space="preserve"> Defendant</w:t>
      </w:r>
      <w:r w:rsidR="00FE20CC" w:rsidRPr="00C16B2E">
        <w:rPr>
          <w:rFonts w:ascii="Dark Courier" w:hAnsi="Dark Courier"/>
          <w:b w:val="0"/>
        </w:rPr>
        <w:t xml:space="preserve"> was found</w:t>
      </w:r>
      <w:r>
        <w:rPr>
          <w:rFonts w:ascii="Dark Courier" w:hAnsi="Dark Courier"/>
          <w:b w:val="0"/>
        </w:rPr>
        <w:t xml:space="preserve"> to be</w:t>
      </w:r>
      <w:r w:rsidR="00FE20CC" w:rsidRPr="00C16B2E">
        <w:rPr>
          <w:rFonts w:ascii="Dark Courier" w:hAnsi="Dark Courier"/>
          <w:b w:val="0"/>
        </w:rPr>
        <w:t xml:space="preserve"> in possession of a .9mm </w:t>
      </w:r>
      <w:r w:rsidR="00FE20CC" w:rsidRPr="00C16B2E">
        <w:rPr>
          <w:rFonts w:ascii="Dark Courier" w:hAnsi="Dark Courier"/>
          <w:b w:val="0"/>
        </w:rPr>
        <w:lastRenderedPageBreak/>
        <w:t>pistol and two</w:t>
      </w:r>
      <w:r>
        <w:rPr>
          <w:rFonts w:ascii="Dark Courier" w:hAnsi="Dark Courier"/>
          <w:b w:val="0"/>
        </w:rPr>
        <w:t xml:space="preserve"> (2)</w:t>
      </w:r>
      <w:r w:rsidR="00FE20CC" w:rsidRPr="00C16B2E">
        <w:rPr>
          <w:rFonts w:ascii="Dark Courier" w:hAnsi="Dark Courier"/>
          <w:b w:val="0"/>
        </w:rPr>
        <w:t xml:space="preserve"> .22 caliber handguns. Several spent shell casings were also discovered scattered throughout the interior of the vehicle. None of the items were seized because the </w:t>
      </w:r>
      <w:r>
        <w:rPr>
          <w:rFonts w:ascii="Dark Courier" w:hAnsi="Dark Courier"/>
          <w:b w:val="0"/>
        </w:rPr>
        <w:t xml:space="preserve">state </w:t>
      </w:r>
      <w:r w:rsidR="00FE20CC" w:rsidRPr="00C16B2E">
        <w:rPr>
          <w:rFonts w:ascii="Dark Courier" w:hAnsi="Dark Courier"/>
          <w:b w:val="0"/>
        </w:rPr>
        <w:t xml:space="preserve">trooper believed that </w:t>
      </w:r>
      <w:r w:rsidR="00D32CF7">
        <w:rPr>
          <w:rFonts w:ascii="Dark Courier" w:hAnsi="Dark Courier"/>
          <w:b w:val="0"/>
        </w:rPr>
        <w:t xml:space="preserve">the </w:t>
      </w:r>
      <w:r w:rsidR="00FE20CC" w:rsidRPr="00C16B2E">
        <w:rPr>
          <w:rFonts w:ascii="Dark Courier" w:hAnsi="Dark Courier"/>
          <w:b w:val="0"/>
        </w:rPr>
        <w:t>Defendant ha</w:t>
      </w:r>
      <w:r>
        <w:rPr>
          <w:rFonts w:ascii="Dark Courier" w:hAnsi="Dark Courier"/>
          <w:b w:val="0"/>
        </w:rPr>
        <w:t>d</w:t>
      </w:r>
      <w:r w:rsidR="00FE20CC" w:rsidRPr="00C16B2E">
        <w:rPr>
          <w:rFonts w:ascii="Dark Courier" w:hAnsi="Dark Courier"/>
          <w:b w:val="0"/>
        </w:rPr>
        <w:t xml:space="preserve"> a permit</w:t>
      </w:r>
      <w:r>
        <w:rPr>
          <w:rFonts w:ascii="Dark Courier" w:hAnsi="Dark Courier"/>
          <w:b w:val="0"/>
        </w:rPr>
        <w:t xml:space="preserve"> to carry issued by the </w:t>
      </w:r>
      <w:r w:rsidR="00FE20CC" w:rsidRPr="00C16B2E">
        <w:rPr>
          <w:rFonts w:ascii="Dark Courier" w:hAnsi="Dark Courier"/>
          <w:b w:val="0"/>
        </w:rPr>
        <w:t>Luzerne County</w:t>
      </w:r>
      <w:r>
        <w:rPr>
          <w:rFonts w:ascii="Dark Courier" w:hAnsi="Dark Courier"/>
          <w:b w:val="0"/>
        </w:rPr>
        <w:t xml:space="preserve"> Sheriff’s Department</w:t>
      </w:r>
      <w:r w:rsidR="00FE20CC" w:rsidRPr="00C16B2E">
        <w:rPr>
          <w:rFonts w:ascii="Dark Courier" w:hAnsi="Dark Courier"/>
          <w:b w:val="0"/>
        </w:rPr>
        <w:t xml:space="preserve">, and he did not suspect any criminal activity at that time. Upon further investigation, it was discovered that </w:t>
      </w:r>
      <w:r>
        <w:rPr>
          <w:rFonts w:ascii="Dark Courier" w:hAnsi="Dark Courier"/>
          <w:b w:val="0"/>
        </w:rPr>
        <w:t xml:space="preserve">the </w:t>
      </w:r>
      <w:r w:rsidR="00FE20CC" w:rsidRPr="00C16B2E">
        <w:rPr>
          <w:rFonts w:ascii="Dark Courier" w:hAnsi="Dark Courier"/>
          <w:b w:val="0"/>
        </w:rPr>
        <w:t xml:space="preserve">Luzerne County </w:t>
      </w:r>
      <w:r>
        <w:rPr>
          <w:rFonts w:ascii="Dark Courier" w:hAnsi="Dark Courier"/>
          <w:b w:val="0"/>
        </w:rPr>
        <w:t xml:space="preserve">Sheriff’s Department </w:t>
      </w:r>
      <w:r w:rsidR="00FE20CC" w:rsidRPr="00C16B2E">
        <w:rPr>
          <w:rFonts w:ascii="Dark Courier" w:hAnsi="Dark Courier"/>
          <w:b w:val="0"/>
        </w:rPr>
        <w:t xml:space="preserve">had revoked </w:t>
      </w:r>
      <w:r w:rsidR="00D32CF7">
        <w:rPr>
          <w:rFonts w:ascii="Dark Courier" w:hAnsi="Dark Courier"/>
          <w:b w:val="0"/>
        </w:rPr>
        <w:t xml:space="preserve">the </w:t>
      </w:r>
      <w:r w:rsidR="00FE20CC" w:rsidRPr="00C16B2E">
        <w:rPr>
          <w:rFonts w:ascii="Dark Courier" w:hAnsi="Dark Courier"/>
          <w:b w:val="0"/>
        </w:rPr>
        <w:t>Defendant’s per</w:t>
      </w:r>
      <w:r>
        <w:rPr>
          <w:rFonts w:ascii="Dark Courier" w:hAnsi="Dark Courier"/>
          <w:b w:val="0"/>
        </w:rPr>
        <w:t>mit. Based on the foregoing information</w:t>
      </w:r>
      <w:r w:rsidR="00FE20CC" w:rsidRPr="00C16B2E">
        <w:rPr>
          <w:rFonts w:ascii="Dark Courier" w:hAnsi="Dark Courier"/>
          <w:b w:val="0"/>
        </w:rPr>
        <w:t xml:space="preserve">, the Commonwealth believed that weapons and ammunition would be found in </w:t>
      </w:r>
      <w:r w:rsidR="00D32CF7">
        <w:rPr>
          <w:rFonts w:ascii="Dark Courier" w:hAnsi="Dark Courier"/>
          <w:b w:val="0"/>
        </w:rPr>
        <w:t xml:space="preserve">the </w:t>
      </w:r>
      <w:r w:rsidR="00FE20CC" w:rsidRPr="00C16B2E">
        <w:rPr>
          <w:rFonts w:ascii="Dark Courier" w:hAnsi="Dark Courier"/>
          <w:b w:val="0"/>
        </w:rPr>
        <w:t xml:space="preserve">Defendant’s McAdoo residence.  </w:t>
      </w:r>
    </w:p>
    <w:p w:rsidR="00BB7607" w:rsidRDefault="00D32CF7" w:rsidP="0058216F">
      <w:pPr>
        <w:spacing w:line="480" w:lineRule="auto"/>
        <w:ind w:firstLine="720"/>
        <w:jc w:val="both"/>
        <w:rPr>
          <w:rFonts w:ascii="Dark Courier" w:hAnsi="Dark Courier"/>
          <w:bCs/>
        </w:rPr>
      </w:pPr>
      <w:r w:rsidRPr="00D32CF7">
        <w:rPr>
          <w:rFonts w:ascii="Dark Courier" w:hAnsi="Dark Courier"/>
          <w:bCs/>
        </w:rPr>
        <w:t xml:space="preserve">Officer Bogart executed the search warrant on </w:t>
      </w:r>
      <w:r>
        <w:rPr>
          <w:rFonts w:ascii="Dark Courier" w:hAnsi="Dark Courier"/>
          <w:bCs/>
        </w:rPr>
        <w:t>March 2, 2011</w:t>
      </w:r>
      <w:r w:rsidRPr="00D32CF7">
        <w:rPr>
          <w:rFonts w:ascii="Dark Courier" w:hAnsi="Dark Courier"/>
          <w:bCs/>
        </w:rPr>
        <w:t xml:space="preserve"> with the assistance of other police officers.</w:t>
      </w:r>
      <w:r>
        <w:rPr>
          <w:rFonts w:ascii="Dark Courier" w:hAnsi="Dark Courier"/>
          <w:bCs/>
        </w:rPr>
        <w:t xml:space="preserve"> The officers recovered multiple firearms, ammunition and other items from the residence, which are detailed in the “Receipt/Inventory of Seized Property</w:t>
      </w:r>
      <w:r w:rsidR="000D4265">
        <w:rPr>
          <w:rFonts w:ascii="Dark Courier" w:hAnsi="Dark Courier"/>
          <w:bCs/>
        </w:rPr>
        <w:t xml:space="preserve">.” </w:t>
      </w:r>
      <w:proofErr w:type="gramStart"/>
      <w:r w:rsidR="000D4265">
        <w:rPr>
          <w:rFonts w:ascii="Dark Courier" w:hAnsi="Dark Courier"/>
          <w:bCs/>
        </w:rPr>
        <w:t>(See Commonwealth’s Exhibit 4</w:t>
      </w:r>
      <w:r>
        <w:rPr>
          <w:rFonts w:ascii="Dark Courier" w:hAnsi="Dark Courier"/>
          <w:bCs/>
        </w:rPr>
        <w:t>).</w:t>
      </w:r>
      <w:proofErr w:type="gramEnd"/>
      <w:r w:rsidR="00BB7607">
        <w:rPr>
          <w:rFonts w:ascii="Dark Courier" w:hAnsi="Dark Courier"/>
          <w:bCs/>
        </w:rPr>
        <w:t xml:space="preserve"> </w:t>
      </w:r>
      <w:r w:rsidR="0058216F">
        <w:rPr>
          <w:rFonts w:ascii="Dark Courier" w:hAnsi="Dark Courier"/>
          <w:bCs/>
        </w:rPr>
        <w:t xml:space="preserve">The </w:t>
      </w:r>
      <w:r w:rsidR="0058216F" w:rsidRPr="0058216F">
        <w:rPr>
          <w:rFonts w:ascii="Dark Courier" w:hAnsi="Dark Courier"/>
          <w:bCs/>
        </w:rPr>
        <w:t xml:space="preserve">Defendant waived arraignment on May 9, 2011. On June 13, 2011, the Commonwealth charged </w:t>
      </w:r>
      <w:r w:rsidR="0058216F">
        <w:rPr>
          <w:rFonts w:ascii="Dark Courier" w:hAnsi="Dark Courier"/>
          <w:bCs/>
        </w:rPr>
        <w:t xml:space="preserve">the </w:t>
      </w:r>
      <w:r w:rsidR="0058216F" w:rsidRPr="0058216F">
        <w:rPr>
          <w:rFonts w:ascii="Dark Courier" w:hAnsi="Dark Courier"/>
          <w:bCs/>
        </w:rPr>
        <w:t xml:space="preserve">Defendant by Information with the offenses outlined in the Criminal Complaint, and added an additional three </w:t>
      </w:r>
      <w:r w:rsidR="0058216F">
        <w:rPr>
          <w:rFonts w:ascii="Dark Courier" w:hAnsi="Dark Courier"/>
          <w:bCs/>
        </w:rPr>
        <w:t xml:space="preserve">(3) </w:t>
      </w:r>
      <w:r w:rsidR="0058216F" w:rsidRPr="0058216F">
        <w:rPr>
          <w:rFonts w:ascii="Dark Courier" w:hAnsi="Dark Courier"/>
          <w:bCs/>
        </w:rPr>
        <w:t>counts of Criminal Conspiracy-Discharge Firearm</w:t>
      </w:r>
      <w:r w:rsidR="0058216F">
        <w:rPr>
          <w:rFonts w:ascii="Dark Courier" w:hAnsi="Dark Courier"/>
          <w:bCs/>
        </w:rPr>
        <w:t xml:space="preserve">, 18 Pa. C.S.A. </w:t>
      </w:r>
      <w:r w:rsidR="0058216F">
        <w:rPr>
          <w:rFonts w:ascii="Dark Courier" w:hAnsi="Dark Courier"/>
        </w:rPr>
        <w:t xml:space="preserve">§ </w:t>
      </w:r>
      <w:r w:rsidR="0058216F">
        <w:rPr>
          <w:rFonts w:ascii="Dark Courier" w:hAnsi="Dark Courier"/>
          <w:bCs/>
        </w:rPr>
        <w:t>903</w:t>
      </w:r>
      <w:r w:rsidR="0058216F" w:rsidRPr="0058216F">
        <w:rPr>
          <w:rFonts w:ascii="Dark Courier" w:hAnsi="Dark Courier"/>
          <w:bCs/>
        </w:rPr>
        <w:t xml:space="preserve"> (F3). </w:t>
      </w:r>
    </w:p>
    <w:p w:rsidR="0058216F" w:rsidRPr="0058216F" w:rsidRDefault="0058216F" w:rsidP="0058216F">
      <w:pPr>
        <w:spacing w:line="480" w:lineRule="auto"/>
        <w:ind w:firstLine="720"/>
        <w:jc w:val="both"/>
        <w:rPr>
          <w:rFonts w:ascii="Dark Courier" w:hAnsi="Dark Courier"/>
          <w:bCs/>
        </w:rPr>
      </w:pPr>
      <w:r w:rsidRPr="0058216F">
        <w:rPr>
          <w:rFonts w:ascii="Dark Courier" w:hAnsi="Dark Courier"/>
          <w:bCs/>
        </w:rPr>
        <w:t xml:space="preserve">On August 8, 2011, </w:t>
      </w:r>
      <w:r>
        <w:rPr>
          <w:rFonts w:ascii="Dark Courier" w:hAnsi="Dark Courier"/>
          <w:bCs/>
        </w:rPr>
        <w:t xml:space="preserve">the </w:t>
      </w:r>
      <w:r w:rsidRPr="0058216F">
        <w:rPr>
          <w:rFonts w:ascii="Dark Courier" w:hAnsi="Dark Courier"/>
          <w:bCs/>
        </w:rPr>
        <w:t xml:space="preserve">Defendant filed a </w:t>
      </w:r>
      <w:r w:rsidR="00DD5262">
        <w:rPr>
          <w:rFonts w:ascii="Dark Courier" w:hAnsi="Dark Courier"/>
          <w:bCs/>
        </w:rPr>
        <w:t>“</w:t>
      </w:r>
      <w:r w:rsidRPr="0058216F">
        <w:rPr>
          <w:rFonts w:ascii="Dark Courier" w:hAnsi="Dark Courier"/>
          <w:bCs/>
        </w:rPr>
        <w:t>Notice of Alibi Defense.</w:t>
      </w:r>
      <w:r w:rsidR="00DD5262">
        <w:rPr>
          <w:rFonts w:ascii="Dark Courier" w:hAnsi="Dark Courier"/>
          <w:bCs/>
        </w:rPr>
        <w:t>”</w:t>
      </w:r>
      <w:r w:rsidRPr="0058216F">
        <w:rPr>
          <w:rFonts w:ascii="Dark Courier" w:hAnsi="Dark Courier"/>
          <w:bCs/>
        </w:rPr>
        <w:t xml:space="preserve"> On September 2, 2011, Defendant filed an </w:t>
      </w:r>
      <w:r w:rsidR="00DD5262">
        <w:rPr>
          <w:rFonts w:ascii="Dark Courier" w:hAnsi="Dark Courier"/>
          <w:bCs/>
        </w:rPr>
        <w:t>“</w:t>
      </w:r>
      <w:r w:rsidRPr="0058216F">
        <w:rPr>
          <w:rFonts w:ascii="Dark Courier" w:hAnsi="Dark Courier"/>
          <w:bCs/>
        </w:rPr>
        <w:t>Omnibus Pretrial Motion for Relief,</w:t>
      </w:r>
      <w:r w:rsidR="00DD5262">
        <w:rPr>
          <w:rFonts w:ascii="Dark Courier" w:hAnsi="Dark Courier"/>
          <w:bCs/>
        </w:rPr>
        <w:t>”</w:t>
      </w:r>
      <w:r w:rsidRPr="0058216F">
        <w:rPr>
          <w:rFonts w:ascii="Dark Courier" w:hAnsi="Dark Courier"/>
          <w:bCs/>
        </w:rPr>
        <w:t xml:space="preserve"> containing a Motion to Suppress as </w:t>
      </w:r>
      <w:r w:rsidRPr="0058216F">
        <w:rPr>
          <w:rFonts w:ascii="Dark Courier" w:hAnsi="Dark Courier"/>
          <w:bCs/>
        </w:rPr>
        <w:lastRenderedPageBreak/>
        <w:t xml:space="preserve">the sole count for relief. On September 12, 2011, </w:t>
      </w:r>
      <w:r>
        <w:rPr>
          <w:rFonts w:ascii="Dark Courier" w:hAnsi="Dark Courier"/>
          <w:bCs/>
        </w:rPr>
        <w:t xml:space="preserve">the </w:t>
      </w:r>
      <w:r w:rsidRPr="0058216F">
        <w:rPr>
          <w:rFonts w:ascii="Dark Courier" w:hAnsi="Dark Courier"/>
          <w:bCs/>
        </w:rPr>
        <w:t xml:space="preserve">Defendant filed a </w:t>
      </w:r>
      <w:r w:rsidR="00DD5262">
        <w:rPr>
          <w:rFonts w:ascii="Dark Courier" w:hAnsi="Dark Courier"/>
          <w:bCs/>
        </w:rPr>
        <w:t>“</w:t>
      </w:r>
      <w:r w:rsidRPr="0058216F">
        <w:rPr>
          <w:rFonts w:ascii="Dark Courier" w:hAnsi="Dark Courier"/>
          <w:bCs/>
        </w:rPr>
        <w:t>Motion to Modify Bail.</w:t>
      </w:r>
      <w:r w:rsidR="00DD5262">
        <w:rPr>
          <w:rFonts w:ascii="Dark Courier" w:hAnsi="Dark Courier"/>
          <w:bCs/>
        </w:rPr>
        <w:t>”</w:t>
      </w:r>
      <w:r w:rsidRPr="0058216F">
        <w:rPr>
          <w:rFonts w:ascii="Dark Courier" w:hAnsi="Dark Courier"/>
          <w:bCs/>
        </w:rPr>
        <w:t xml:space="preserve"> On September 15, 2011, </w:t>
      </w:r>
      <w:r>
        <w:rPr>
          <w:rFonts w:ascii="Dark Courier" w:hAnsi="Dark Courier"/>
          <w:bCs/>
        </w:rPr>
        <w:t xml:space="preserve">the </w:t>
      </w:r>
      <w:r w:rsidRPr="0058216F">
        <w:rPr>
          <w:rFonts w:ascii="Dark Courier" w:hAnsi="Dark Courier"/>
          <w:bCs/>
        </w:rPr>
        <w:t xml:space="preserve">Defendant filed an </w:t>
      </w:r>
      <w:r w:rsidR="00DD5262">
        <w:rPr>
          <w:rFonts w:ascii="Dark Courier" w:hAnsi="Dark Courier"/>
          <w:bCs/>
        </w:rPr>
        <w:t xml:space="preserve">“Addendum to </w:t>
      </w:r>
      <w:r w:rsidRPr="0058216F">
        <w:rPr>
          <w:rFonts w:ascii="Dark Courier" w:hAnsi="Dark Courier"/>
          <w:bCs/>
        </w:rPr>
        <w:t>Omnibus Pretrial Motion</w:t>
      </w:r>
      <w:r w:rsidR="00DD5262">
        <w:rPr>
          <w:rFonts w:ascii="Dark Courier" w:hAnsi="Dark Courier"/>
          <w:bCs/>
        </w:rPr>
        <w:t xml:space="preserve"> for Relief</w:t>
      </w:r>
      <w:r w:rsidRPr="0058216F">
        <w:rPr>
          <w:rFonts w:ascii="Dark Courier" w:hAnsi="Dark Courier"/>
          <w:bCs/>
        </w:rPr>
        <w:t>,</w:t>
      </w:r>
      <w:r w:rsidR="00DD5262">
        <w:rPr>
          <w:rFonts w:ascii="Dark Courier" w:hAnsi="Dark Courier"/>
          <w:bCs/>
        </w:rPr>
        <w:t>”</w:t>
      </w:r>
      <w:r w:rsidRPr="0058216F">
        <w:rPr>
          <w:rFonts w:ascii="Dark Courier" w:hAnsi="Dark Courier"/>
          <w:bCs/>
        </w:rPr>
        <w:t xml:space="preserve"> containing a Motion to Suppress the oral or written statements allegedly made by him on July 6, 2011. </w:t>
      </w:r>
    </w:p>
    <w:p w:rsidR="0058216F" w:rsidRPr="0058216F" w:rsidRDefault="0058216F" w:rsidP="0058216F">
      <w:pPr>
        <w:spacing w:line="480" w:lineRule="auto"/>
        <w:jc w:val="both"/>
        <w:rPr>
          <w:rFonts w:ascii="Dark Courier" w:hAnsi="Dark Courier"/>
          <w:bCs/>
        </w:rPr>
      </w:pPr>
      <w:r w:rsidRPr="0058216F">
        <w:rPr>
          <w:rFonts w:ascii="Dark Courier" w:hAnsi="Dark Courier"/>
          <w:bCs/>
        </w:rPr>
        <w:tab/>
        <w:t xml:space="preserve">On November 18, 2011, </w:t>
      </w:r>
      <w:r>
        <w:rPr>
          <w:rFonts w:ascii="Dark Courier" w:hAnsi="Dark Courier"/>
          <w:bCs/>
        </w:rPr>
        <w:t xml:space="preserve">the </w:t>
      </w:r>
      <w:r w:rsidRPr="0058216F">
        <w:rPr>
          <w:rFonts w:ascii="Dark Courier" w:hAnsi="Dark Courier"/>
          <w:bCs/>
        </w:rPr>
        <w:t xml:space="preserve">Defendant filed an </w:t>
      </w:r>
      <w:r w:rsidR="00DD5262">
        <w:rPr>
          <w:rFonts w:ascii="Dark Courier" w:hAnsi="Dark Courier"/>
          <w:bCs/>
        </w:rPr>
        <w:t>“</w:t>
      </w:r>
      <w:r w:rsidRPr="0058216F">
        <w:rPr>
          <w:rFonts w:ascii="Dark Courier" w:hAnsi="Dark Courier"/>
          <w:bCs/>
        </w:rPr>
        <w:t>Amended Omnibus Pretrial Motion.</w:t>
      </w:r>
      <w:r w:rsidR="00DD5262">
        <w:rPr>
          <w:rFonts w:ascii="Dark Courier" w:hAnsi="Dark Courier"/>
          <w:bCs/>
        </w:rPr>
        <w:t>”</w:t>
      </w:r>
      <w:r w:rsidRPr="0058216F">
        <w:rPr>
          <w:rFonts w:ascii="Dark Courier" w:hAnsi="Dark Courier"/>
          <w:bCs/>
        </w:rPr>
        <w:t xml:space="preserve"> The Motion includes a request to modify bail, in the form of removing the ankle bracelet and home confinement conditions placed upon him. The Motion also requests that the matter be remanded for a preliminary hearing, because </w:t>
      </w:r>
      <w:r w:rsidR="008001E7">
        <w:rPr>
          <w:rFonts w:ascii="Dark Courier" w:hAnsi="Dark Courier"/>
          <w:bCs/>
        </w:rPr>
        <w:t xml:space="preserve">the </w:t>
      </w:r>
      <w:r w:rsidRPr="0058216F">
        <w:rPr>
          <w:rFonts w:ascii="Dark Courier" w:hAnsi="Dark Courier"/>
          <w:bCs/>
        </w:rPr>
        <w:t xml:space="preserve">Defendant avers that he did not voluntarily, knowingly or intelligently waive the pending charges to court. The Motion also includes a </w:t>
      </w:r>
      <w:r w:rsidR="0059742A">
        <w:rPr>
          <w:rFonts w:ascii="Dark Courier" w:hAnsi="Dark Courier"/>
          <w:bCs/>
        </w:rPr>
        <w:t>“</w:t>
      </w:r>
      <w:r w:rsidRPr="0058216F">
        <w:rPr>
          <w:rFonts w:ascii="Dark Courier" w:hAnsi="Dark Courier"/>
          <w:bCs/>
        </w:rPr>
        <w:t>Motion to Suppress Pursuant to Pa. R.</w:t>
      </w:r>
      <w:r w:rsidR="008001E7">
        <w:rPr>
          <w:rFonts w:ascii="Dark Courier" w:hAnsi="Dark Courier"/>
          <w:bCs/>
        </w:rPr>
        <w:t xml:space="preserve"> </w:t>
      </w:r>
      <w:r w:rsidRPr="0058216F">
        <w:rPr>
          <w:rFonts w:ascii="Dark Courier" w:hAnsi="Dark Courier"/>
          <w:bCs/>
        </w:rPr>
        <w:t>C</w:t>
      </w:r>
      <w:r w:rsidR="008001E7">
        <w:rPr>
          <w:rFonts w:ascii="Dark Courier" w:hAnsi="Dark Courier"/>
          <w:bCs/>
        </w:rPr>
        <w:t>rim</w:t>
      </w:r>
      <w:r w:rsidRPr="0058216F">
        <w:rPr>
          <w:rFonts w:ascii="Dark Courier" w:hAnsi="Dark Courier"/>
          <w:bCs/>
        </w:rPr>
        <w:t>.</w:t>
      </w:r>
      <w:r w:rsidR="008001E7">
        <w:rPr>
          <w:rFonts w:ascii="Dark Courier" w:hAnsi="Dark Courier"/>
          <w:bCs/>
        </w:rPr>
        <w:t xml:space="preserve"> </w:t>
      </w:r>
      <w:r w:rsidRPr="0058216F">
        <w:rPr>
          <w:rFonts w:ascii="Dark Courier" w:hAnsi="Dark Courier"/>
          <w:bCs/>
        </w:rPr>
        <w:t>P. 203(b).</w:t>
      </w:r>
      <w:r w:rsidR="0059742A">
        <w:rPr>
          <w:rFonts w:ascii="Dark Courier" w:hAnsi="Dark Courier"/>
          <w:bCs/>
        </w:rPr>
        <w:t>”</w:t>
      </w:r>
      <w:r w:rsidRPr="0058216F">
        <w:rPr>
          <w:rFonts w:ascii="Dark Courier" w:hAnsi="Dark Courier"/>
          <w:bCs/>
        </w:rPr>
        <w:t xml:space="preserve"> In support of this Motion, </w:t>
      </w:r>
      <w:r w:rsidR="008001E7">
        <w:rPr>
          <w:rFonts w:ascii="Dark Courier" w:hAnsi="Dark Courier"/>
          <w:bCs/>
        </w:rPr>
        <w:t xml:space="preserve">the </w:t>
      </w:r>
      <w:r w:rsidRPr="0058216F">
        <w:rPr>
          <w:rFonts w:ascii="Dark Courier" w:hAnsi="Dark Courier"/>
          <w:bCs/>
        </w:rPr>
        <w:t>Defendant avers that the search warrant issued an</w:t>
      </w:r>
      <w:r w:rsidR="00DD5262">
        <w:rPr>
          <w:rFonts w:ascii="Dark Courier" w:hAnsi="Dark Courier"/>
          <w:bCs/>
        </w:rPr>
        <w:t>d</w:t>
      </w:r>
      <w:r w:rsidRPr="0058216F">
        <w:rPr>
          <w:rFonts w:ascii="Dark Courier" w:hAnsi="Dark Courier"/>
          <w:bCs/>
        </w:rPr>
        <w:t xml:space="preserve"> executed on March 2, 2011 did not outline probable cause to support the search. He also avers that the affidavit supporting the warrant contained no indication </w:t>
      </w:r>
      <w:r w:rsidR="00DD5262">
        <w:rPr>
          <w:rFonts w:ascii="Dark Courier" w:hAnsi="Dark Courier"/>
          <w:bCs/>
        </w:rPr>
        <w:t xml:space="preserve">as to </w:t>
      </w:r>
      <w:r w:rsidRPr="0058216F">
        <w:rPr>
          <w:rFonts w:ascii="Dark Courier" w:hAnsi="Dark Courier"/>
          <w:bCs/>
        </w:rPr>
        <w:t>what information or evidence gave rise to probable cause to believe that the items sought by the police were located in 133 S</w:t>
      </w:r>
      <w:r w:rsidR="00DD5262">
        <w:rPr>
          <w:rFonts w:ascii="Dark Courier" w:hAnsi="Dark Courier"/>
          <w:bCs/>
        </w:rPr>
        <w:t>outh</w:t>
      </w:r>
      <w:r w:rsidRPr="0058216F">
        <w:rPr>
          <w:rFonts w:ascii="Dark Courier" w:hAnsi="Dark Courier"/>
          <w:bCs/>
        </w:rPr>
        <w:t xml:space="preserve"> Hancock St</w:t>
      </w:r>
      <w:r w:rsidR="00DD5262">
        <w:rPr>
          <w:rFonts w:ascii="Dark Courier" w:hAnsi="Dark Courier"/>
          <w:bCs/>
        </w:rPr>
        <w:t>reet</w:t>
      </w:r>
      <w:r w:rsidRPr="0058216F">
        <w:rPr>
          <w:rFonts w:ascii="Dark Courier" w:hAnsi="Dark Courier"/>
          <w:bCs/>
        </w:rPr>
        <w:t>. Rather,</w:t>
      </w:r>
      <w:r w:rsidR="00DD5262">
        <w:rPr>
          <w:rFonts w:ascii="Dark Courier" w:hAnsi="Dark Courier"/>
          <w:bCs/>
        </w:rPr>
        <w:t xml:space="preserve"> according to the Motion,</w:t>
      </w:r>
      <w:r w:rsidRPr="0058216F">
        <w:rPr>
          <w:rFonts w:ascii="Dark Courier" w:hAnsi="Dark Courier"/>
          <w:bCs/>
        </w:rPr>
        <w:t xml:space="preserve"> the affidavit contains a collection of unrelated events and misleading information, and does not discuss surveillance of the property. Therefore, </w:t>
      </w:r>
      <w:r w:rsidR="008001E7">
        <w:rPr>
          <w:rFonts w:ascii="Dark Courier" w:hAnsi="Dark Courier"/>
          <w:bCs/>
        </w:rPr>
        <w:t xml:space="preserve">the </w:t>
      </w:r>
      <w:r w:rsidRPr="0058216F">
        <w:rPr>
          <w:rFonts w:ascii="Dark Courier" w:hAnsi="Dark Courier"/>
          <w:bCs/>
        </w:rPr>
        <w:t xml:space="preserve">Defendant seeks to exclude all evidence seized as a result of the </w:t>
      </w:r>
      <w:r w:rsidR="00DD5262">
        <w:rPr>
          <w:rFonts w:ascii="Dark Courier" w:hAnsi="Dark Courier"/>
          <w:bCs/>
        </w:rPr>
        <w:t xml:space="preserve">allegedly </w:t>
      </w:r>
      <w:r w:rsidRPr="0058216F">
        <w:rPr>
          <w:rFonts w:ascii="Dark Courier" w:hAnsi="Dark Courier"/>
          <w:bCs/>
        </w:rPr>
        <w:t xml:space="preserve">unlawful search. </w:t>
      </w:r>
    </w:p>
    <w:p w:rsidR="0058216F" w:rsidRPr="0058216F" w:rsidRDefault="0058216F" w:rsidP="0058216F">
      <w:pPr>
        <w:spacing w:line="480" w:lineRule="auto"/>
        <w:jc w:val="both"/>
        <w:rPr>
          <w:rFonts w:ascii="Dark Courier" w:hAnsi="Dark Courier"/>
          <w:bCs/>
        </w:rPr>
      </w:pPr>
      <w:r w:rsidRPr="0058216F">
        <w:rPr>
          <w:rFonts w:ascii="Dark Courier" w:hAnsi="Dark Courier"/>
          <w:bCs/>
        </w:rPr>
        <w:lastRenderedPageBreak/>
        <w:tab/>
        <w:t xml:space="preserve">The </w:t>
      </w:r>
      <w:r w:rsidR="00DD5262">
        <w:rPr>
          <w:rFonts w:ascii="Dark Courier" w:hAnsi="Dark Courier"/>
          <w:bCs/>
        </w:rPr>
        <w:t xml:space="preserve">Omnibus Pre-Trial </w:t>
      </w:r>
      <w:r w:rsidRPr="0058216F">
        <w:rPr>
          <w:rFonts w:ascii="Dark Courier" w:hAnsi="Dark Courier"/>
          <w:bCs/>
        </w:rPr>
        <w:t xml:space="preserve">Motion also contains a </w:t>
      </w:r>
      <w:r w:rsidR="00DD5262">
        <w:rPr>
          <w:rFonts w:ascii="Dark Courier" w:hAnsi="Dark Courier"/>
          <w:bCs/>
        </w:rPr>
        <w:t>“</w:t>
      </w:r>
      <w:r w:rsidRPr="0058216F">
        <w:rPr>
          <w:rFonts w:ascii="Dark Courier" w:hAnsi="Dark Courier"/>
          <w:bCs/>
        </w:rPr>
        <w:t>Motion to Suppress Pursuant to Pa. R.</w:t>
      </w:r>
      <w:r w:rsidR="008001E7">
        <w:rPr>
          <w:rFonts w:ascii="Dark Courier" w:hAnsi="Dark Courier"/>
          <w:bCs/>
        </w:rPr>
        <w:t xml:space="preserve"> </w:t>
      </w:r>
      <w:r w:rsidRPr="0058216F">
        <w:rPr>
          <w:rFonts w:ascii="Dark Courier" w:hAnsi="Dark Courier"/>
          <w:bCs/>
        </w:rPr>
        <w:t>C</w:t>
      </w:r>
      <w:r w:rsidR="008001E7">
        <w:rPr>
          <w:rFonts w:ascii="Dark Courier" w:hAnsi="Dark Courier"/>
          <w:bCs/>
        </w:rPr>
        <w:t>rim</w:t>
      </w:r>
      <w:r w:rsidRPr="0058216F">
        <w:rPr>
          <w:rFonts w:ascii="Dark Courier" w:hAnsi="Dark Courier"/>
          <w:bCs/>
        </w:rPr>
        <w:t>.</w:t>
      </w:r>
      <w:r w:rsidR="008001E7">
        <w:rPr>
          <w:rFonts w:ascii="Dark Courier" w:hAnsi="Dark Courier"/>
          <w:bCs/>
        </w:rPr>
        <w:t xml:space="preserve"> </w:t>
      </w:r>
      <w:r w:rsidRPr="0058216F">
        <w:rPr>
          <w:rFonts w:ascii="Dark Courier" w:hAnsi="Dark Courier"/>
          <w:bCs/>
        </w:rPr>
        <w:t>P. 208 and 209,</w:t>
      </w:r>
      <w:r w:rsidR="00DD5262">
        <w:rPr>
          <w:rFonts w:ascii="Dark Courier" w:hAnsi="Dark Courier"/>
          <w:bCs/>
        </w:rPr>
        <w:t>”</w:t>
      </w:r>
      <w:r w:rsidRPr="0058216F">
        <w:rPr>
          <w:rFonts w:ascii="Dark Courier" w:hAnsi="Dark Courier"/>
          <w:bCs/>
        </w:rPr>
        <w:t xml:space="preserve"> since </w:t>
      </w:r>
      <w:r w:rsidR="008001E7">
        <w:rPr>
          <w:rFonts w:ascii="Dark Courier" w:hAnsi="Dark Courier"/>
          <w:bCs/>
        </w:rPr>
        <w:t xml:space="preserve">the </w:t>
      </w:r>
      <w:r w:rsidRPr="0058216F">
        <w:rPr>
          <w:rFonts w:ascii="Dark Courier" w:hAnsi="Dark Courier"/>
          <w:bCs/>
        </w:rPr>
        <w:t xml:space="preserve">Defendant </w:t>
      </w:r>
      <w:r w:rsidR="002E0FB7">
        <w:rPr>
          <w:rFonts w:ascii="Dark Courier" w:hAnsi="Dark Courier"/>
          <w:bCs/>
        </w:rPr>
        <w:t xml:space="preserve">avers that he </w:t>
      </w:r>
      <w:r w:rsidRPr="0058216F">
        <w:rPr>
          <w:rFonts w:ascii="Dark Courier" w:hAnsi="Dark Courier"/>
          <w:bCs/>
        </w:rPr>
        <w:t xml:space="preserve">did not receive a copy of the search warrant on March 2, 2011, did not receive a receipt for the property allegedly seized on March 2, 2011, and did not receive a return with inventory for the property allegedly seized on March 2, 2011. Therefore, </w:t>
      </w:r>
      <w:r w:rsidR="008001E7">
        <w:rPr>
          <w:rFonts w:ascii="Dark Courier" w:hAnsi="Dark Courier"/>
          <w:bCs/>
        </w:rPr>
        <w:t xml:space="preserve">the </w:t>
      </w:r>
      <w:r w:rsidRPr="0058216F">
        <w:rPr>
          <w:rFonts w:ascii="Dark Courier" w:hAnsi="Dark Courier"/>
          <w:bCs/>
        </w:rPr>
        <w:t>Defendant seeks to exc</w:t>
      </w:r>
      <w:r w:rsidR="00DD5262">
        <w:rPr>
          <w:rFonts w:ascii="Dark Courier" w:hAnsi="Dark Courier"/>
          <w:bCs/>
        </w:rPr>
        <w:t xml:space="preserve">lude all the evidence </w:t>
      </w:r>
      <w:r w:rsidRPr="0058216F">
        <w:rPr>
          <w:rFonts w:ascii="Dark Courier" w:hAnsi="Dark Courier"/>
          <w:bCs/>
        </w:rPr>
        <w:t xml:space="preserve">seized from 133 </w:t>
      </w:r>
      <w:r w:rsidR="00DD5262">
        <w:rPr>
          <w:rFonts w:ascii="Dark Courier" w:hAnsi="Dark Courier"/>
          <w:bCs/>
        </w:rPr>
        <w:t xml:space="preserve">South </w:t>
      </w:r>
      <w:r w:rsidRPr="0058216F">
        <w:rPr>
          <w:rFonts w:ascii="Dark Courier" w:hAnsi="Dark Courier"/>
          <w:bCs/>
        </w:rPr>
        <w:t>Hancock St</w:t>
      </w:r>
      <w:r w:rsidR="00DD5262">
        <w:rPr>
          <w:rFonts w:ascii="Dark Courier" w:hAnsi="Dark Courier"/>
          <w:bCs/>
        </w:rPr>
        <w:t>reet</w:t>
      </w:r>
      <w:r w:rsidR="002E0FB7">
        <w:rPr>
          <w:rFonts w:ascii="Dark Courier" w:hAnsi="Dark Courier"/>
          <w:bCs/>
        </w:rPr>
        <w:t xml:space="preserve"> in McAdoo, Pennsylvania</w:t>
      </w:r>
      <w:r w:rsidRPr="0058216F">
        <w:rPr>
          <w:rFonts w:ascii="Dark Courier" w:hAnsi="Dark Courier"/>
          <w:bCs/>
        </w:rPr>
        <w:t xml:space="preserve">. The </w:t>
      </w:r>
      <w:r w:rsidR="00DD5262">
        <w:rPr>
          <w:rFonts w:ascii="Dark Courier" w:hAnsi="Dark Courier"/>
          <w:bCs/>
        </w:rPr>
        <w:t xml:space="preserve">Omnibus </w:t>
      </w:r>
      <w:r w:rsidRPr="0058216F">
        <w:rPr>
          <w:rFonts w:ascii="Dark Courier" w:hAnsi="Dark Courier"/>
          <w:bCs/>
        </w:rPr>
        <w:t xml:space="preserve">Motion also contains a Motion to </w:t>
      </w:r>
      <w:proofErr w:type="gramStart"/>
      <w:r w:rsidRPr="0058216F">
        <w:rPr>
          <w:rFonts w:ascii="Dark Courier" w:hAnsi="Dark Courier"/>
          <w:bCs/>
        </w:rPr>
        <w:t>Suppress</w:t>
      </w:r>
      <w:proofErr w:type="gramEnd"/>
      <w:r w:rsidRPr="0058216F">
        <w:rPr>
          <w:rFonts w:ascii="Dark Courier" w:hAnsi="Dark Courier"/>
          <w:bCs/>
        </w:rPr>
        <w:t xml:space="preserve"> any oral or written statement made on July 6, 2011 in accordance with </w:t>
      </w:r>
      <w:r w:rsidR="008001E7">
        <w:rPr>
          <w:rFonts w:ascii="Dark Courier" w:hAnsi="Dark Courier"/>
          <w:bCs/>
        </w:rPr>
        <w:t>the</w:t>
      </w:r>
      <w:r w:rsidRPr="0058216F">
        <w:rPr>
          <w:rFonts w:ascii="Dark Courier" w:hAnsi="Dark Courier"/>
          <w:bCs/>
        </w:rPr>
        <w:t xml:space="preserve"> previous </w:t>
      </w:r>
      <w:r w:rsidR="00DD5262">
        <w:rPr>
          <w:rFonts w:ascii="Dark Courier" w:hAnsi="Dark Courier"/>
          <w:bCs/>
        </w:rPr>
        <w:t>“</w:t>
      </w:r>
      <w:r w:rsidRPr="0058216F">
        <w:rPr>
          <w:rFonts w:ascii="Dark Courier" w:hAnsi="Dark Courier"/>
          <w:bCs/>
        </w:rPr>
        <w:t>Addendum to Omnibus</w:t>
      </w:r>
      <w:r w:rsidR="00DD5262">
        <w:rPr>
          <w:rFonts w:ascii="Dark Courier" w:hAnsi="Dark Courier"/>
          <w:bCs/>
        </w:rPr>
        <w:t xml:space="preserve"> Pre-Trial</w:t>
      </w:r>
      <w:r w:rsidRPr="0058216F">
        <w:rPr>
          <w:rFonts w:ascii="Dark Courier" w:hAnsi="Dark Courier"/>
          <w:bCs/>
        </w:rPr>
        <w:t xml:space="preserve"> Motion.</w:t>
      </w:r>
      <w:r w:rsidR="00DD5262">
        <w:rPr>
          <w:rFonts w:ascii="Dark Courier" w:hAnsi="Dark Courier"/>
          <w:bCs/>
        </w:rPr>
        <w:t>”</w:t>
      </w:r>
      <w:r w:rsidRPr="0058216F">
        <w:rPr>
          <w:rFonts w:ascii="Dark Courier" w:hAnsi="Dark Courier"/>
          <w:bCs/>
        </w:rPr>
        <w:t xml:space="preserve"> The Motion further seeks to exclude any evidence of alleged prior bad acts, wrongs or crimes from presentation at trial. </w:t>
      </w:r>
    </w:p>
    <w:p w:rsidR="00C16B2E" w:rsidRDefault="008001E7" w:rsidP="008001E7">
      <w:pPr>
        <w:spacing w:line="480" w:lineRule="auto"/>
        <w:ind w:firstLine="720"/>
        <w:jc w:val="both"/>
        <w:rPr>
          <w:rFonts w:ascii="Dark Courier" w:hAnsi="Dark Courier"/>
          <w:bCs/>
        </w:rPr>
      </w:pPr>
      <w:r>
        <w:rPr>
          <w:rFonts w:ascii="Dark Courier" w:hAnsi="Dark Courier"/>
          <w:bCs/>
        </w:rPr>
        <w:t>Finally, t</w:t>
      </w:r>
      <w:r w:rsidR="0058216F" w:rsidRPr="0058216F">
        <w:rPr>
          <w:rFonts w:ascii="Dark Courier" w:hAnsi="Dark Courier"/>
          <w:bCs/>
        </w:rPr>
        <w:t xml:space="preserve">he </w:t>
      </w:r>
      <w:r w:rsidR="00B043D5">
        <w:rPr>
          <w:rFonts w:ascii="Dark Courier" w:hAnsi="Dark Courier"/>
          <w:bCs/>
        </w:rPr>
        <w:t xml:space="preserve">Omnibus </w:t>
      </w:r>
      <w:r w:rsidR="0058216F" w:rsidRPr="0058216F">
        <w:rPr>
          <w:rFonts w:ascii="Dark Courier" w:hAnsi="Dark Courier"/>
          <w:bCs/>
        </w:rPr>
        <w:t xml:space="preserve">Motion contains a Motion to Compel Discovery. </w:t>
      </w:r>
      <w:r>
        <w:rPr>
          <w:rFonts w:ascii="Dark Courier" w:hAnsi="Dark Courier"/>
          <w:bCs/>
        </w:rPr>
        <w:t xml:space="preserve">The </w:t>
      </w:r>
      <w:r w:rsidR="0058216F" w:rsidRPr="0058216F">
        <w:rPr>
          <w:rFonts w:ascii="Dark Courier" w:hAnsi="Dark Courier"/>
          <w:bCs/>
        </w:rPr>
        <w:t>Defendant requests that the Commonwealth clarify an item o</w:t>
      </w:r>
      <w:r w:rsidR="008D1CD2">
        <w:rPr>
          <w:rFonts w:ascii="Dark Courier" w:hAnsi="Dark Courier"/>
          <w:bCs/>
        </w:rPr>
        <w:t>n page 6 of the incident report,</w:t>
      </w:r>
      <w:r w:rsidR="0058216F" w:rsidRPr="0058216F">
        <w:rPr>
          <w:rFonts w:ascii="Dark Courier" w:hAnsi="Dark Courier"/>
          <w:bCs/>
        </w:rPr>
        <w:t xml:space="preserve"> produce any additional video  surveillance </w:t>
      </w:r>
      <w:r w:rsidR="008D1CD2">
        <w:rPr>
          <w:rFonts w:ascii="Dark Courier" w:hAnsi="Dark Courier"/>
          <w:bCs/>
        </w:rPr>
        <w:t>obtained from several locations,</w:t>
      </w:r>
      <w:r w:rsidR="0058216F" w:rsidRPr="0058216F">
        <w:rPr>
          <w:rFonts w:ascii="Dark Courier" w:hAnsi="Dark Courier"/>
          <w:bCs/>
        </w:rPr>
        <w:t xml:space="preserve"> produce the results of all scie</w:t>
      </w:r>
      <w:r w:rsidR="008D1CD2">
        <w:rPr>
          <w:rFonts w:ascii="Dark Courier" w:hAnsi="Dark Courier"/>
          <w:bCs/>
        </w:rPr>
        <w:t>ntific testing  and lab reports,</w:t>
      </w:r>
      <w:r w:rsidR="00B043D5">
        <w:rPr>
          <w:rFonts w:ascii="Dark Courier" w:hAnsi="Dark Courier"/>
          <w:bCs/>
        </w:rPr>
        <w:t xml:space="preserve"> specify the other types of ammunition</w:t>
      </w:r>
      <w:r w:rsidR="0058216F" w:rsidRPr="0058216F">
        <w:rPr>
          <w:rFonts w:ascii="Dark Courier" w:hAnsi="Dark Courier"/>
          <w:bCs/>
        </w:rPr>
        <w:t xml:space="preserve"> purchased by Delbo o</w:t>
      </w:r>
      <w:r w:rsidR="008D1CD2">
        <w:rPr>
          <w:rFonts w:ascii="Dark Courier" w:hAnsi="Dark Courier"/>
          <w:bCs/>
        </w:rPr>
        <w:t>n February 12, 2011 at Wal Mart,</w:t>
      </w:r>
      <w:r w:rsidR="0058216F" w:rsidRPr="0058216F">
        <w:rPr>
          <w:rFonts w:ascii="Dark Courier" w:hAnsi="Dark Courier"/>
          <w:bCs/>
        </w:rPr>
        <w:t xml:space="preserve"> provide a new photocopy of Delbo’s March 6, 2011 handwritten statement to rectify missing portions/pages </w:t>
      </w:r>
      <w:r w:rsidR="008D1CD2">
        <w:rPr>
          <w:rFonts w:ascii="Dark Courier" w:hAnsi="Dark Courier"/>
          <w:bCs/>
        </w:rPr>
        <w:t>that were not provided,</w:t>
      </w:r>
      <w:r w:rsidR="0058216F" w:rsidRPr="0058216F">
        <w:rPr>
          <w:rFonts w:ascii="Dark Courier" w:hAnsi="Dark Courier"/>
          <w:bCs/>
        </w:rPr>
        <w:t xml:space="preserve"> provide Delbo’s March 7, 2011 statement gi</w:t>
      </w:r>
      <w:r w:rsidR="008D1CD2">
        <w:rPr>
          <w:rFonts w:ascii="Dark Courier" w:hAnsi="Dark Courier"/>
          <w:bCs/>
        </w:rPr>
        <w:t>ven at the Carbon County Prison,</w:t>
      </w:r>
      <w:r w:rsidR="0058216F" w:rsidRPr="0058216F">
        <w:rPr>
          <w:rFonts w:ascii="Dark Courier" w:hAnsi="Dark Courier"/>
          <w:bCs/>
        </w:rPr>
        <w:t xml:space="preserve"> clarify the numb</w:t>
      </w:r>
      <w:r w:rsidR="008D1CD2">
        <w:rPr>
          <w:rFonts w:ascii="Dark Courier" w:hAnsi="Dark Courier"/>
          <w:bCs/>
        </w:rPr>
        <w:t xml:space="preserve">er of </w:t>
      </w:r>
      <w:r w:rsidR="008D1CD2">
        <w:rPr>
          <w:rFonts w:ascii="Dark Courier" w:hAnsi="Dark Courier"/>
          <w:bCs/>
        </w:rPr>
        <w:lastRenderedPageBreak/>
        <w:t xml:space="preserve">statements given by </w:t>
      </w:r>
      <w:proofErr w:type="spellStart"/>
      <w:r w:rsidR="008D1CD2">
        <w:rPr>
          <w:rFonts w:ascii="Dark Courier" w:hAnsi="Dark Courier"/>
          <w:bCs/>
        </w:rPr>
        <w:t>Delbo</w:t>
      </w:r>
      <w:proofErr w:type="spellEnd"/>
      <w:r w:rsidR="008D1CD2">
        <w:rPr>
          <w:rFonts w:ascii="Dark Courier" w:hAnsi="Dark Courier"/>
          <w:bCs/>
        </w:rPr>
        <w:t>,</w:t>
      </w:r>
      <w:r w:rsidR="0058216F" w:rsidRPr="0058216F">
        <w:rPr>
          <w:rFonts w:ascii="Dark Courier" w:hAnsi="Dark Courier"/>
          <w:bCs/>
        </w:rPr>
        <w:t xml:space="preserve"> provide any statement made by or notes referencing the phone conversation and/or interview poli</w:t>
      </w:r>
      <w:r w:rsidR="008D1CD2">
        <w:rPr>
          <w:rFonts w:ascii="Dark Courier" w:hAnsi="Dark Courier"/>
          <w:bCs/>
        </w:rPr>
        <w:t>ce conducted with Zink’s mother,</w:t>
      </w:r>
      <w:r w:rsidR="0058216F" w:rsidRPr="0058216F">
        <w:rPr>
          <w:rFonts w:ascii="Dark Courier" w:hAnsi="Dark Courier"/>
          <w:bCs/>
        </w:rPr>
        <w:t xml:space="preserve"> and produce all information pertaining to </w:t>
      </w:r>
      <w:r w:rsidR="000D4265">
        <w:rPr>
          <w:rFonts w:ascii="Dark Courier" w:hAnsi="Dark Courier"/>
          <w:bCs/>
        </w:rPr>
        <w:t xml:space="preserve">a </w:t>
      </w:r>
      <w:r w:rsidR="0058216F" w:rsidRPr="0058216F">
        <w:rPr>
          <w:rFonts w:ascii="Dark Courier" w:hAnsi="Dark Courier"/>
          <w:bCs/>
        </w:rPr>
        <w:t xml:space="preserve">murder Ortiz allegedly committed in New Jersey. </w:t>
      </w:r>
    </w:p>
    <w:p w:rsidR="0058216F" w:rsidRDefault="00C16B2E" w:rsidP="008001E7">
      <w:pPr>
        <w:spacing w:line="480" w:lineRule="auto"/>
        <w:ind w:firstLine="720"/>
        <w:jc w:val="both"/>
        <w:rPr>
          <w:rFonts w:ascii="Dark Courier" w:hAnsi="Dark Courier"/>
          <w:bCs/>
        </w:rPr>
      </w:pPr>
      <w:r>
        <w:rPr>
          <w:rFonts w:ascii="Dark Courier" w:hAnsi="Dark Courier"/>
          <w:bCs/>
        </w:rPr>
        <w:t xml:space="preserve">The </w:t>
      </w:r>
      <w:r w:rsidR="0058216F" w:rsidRPr="0058216F">
        <w:rPr>
          <w:rFonts w:ascii="Dark Courier" w:hAnsi="Dark Courier"/>
          <w:bCs/>
        </w:rPr>
        <w:t xml:space="preserve">Defendant also requests that the Commonwealth produce further discovery in the form of any and all items requested in his </w:t>
      </w:r>
      <w:r w:rsidR="00B043D5">
        <w:rPr>
          <w:rFonts w:ascii="Dark Courier" w:hAnsi="Dark Courier"/>
          <w:bCs/>
        </w:rPr>
        <w:t>“</w:t>
      </w:r>
      <w:r w:rsidR="0058216F" w:rsidRPr="0058216F">
        <w:rPr>
          <w:rFonts w:ascii="Dark Courier" w:hAnsi="Dark Courier"/>
          <w:bCs/>
        </w:rPr>
        <w:t>Request for Pre Trial Discovery and Inspection</w:t>
      </w:r>
      <w:r w:rsidR="00B043D5">
        <w:rPr>
          <w:rFonts w:ascii="Dark Courier" w:hAnsi="Dark Courier"/>
          <w:bCs/>
        </w:rPr>
        <w:t>”</w:t>
      </w:r>
      <w:r w:rsidR="0058216F" w:rsidRPr="0058216F">
        <w:rPr>
          <w:rFonts w:ascii="Dark Courier" w:hAnsi="Dark Courier"/>
          <w:bCs/>
        </w:rPr>
        <w:t xml:space="preserve"> th</w:t>
      </w:r>
      <w:r w:rsidR="00B043D5">
        <w:rPr>
          <w:rFonts w:ascii="Dark Courier" w:hAnsi="Dark Courier"/>
          <w:bCs/>
        </w:rPr>
        <w:t>at have not yet been produced</w:t>
      </w:r>
      <w:r w:rsidR="0058216F" w:rsidRPr="0058216F">
        <w:rPr>
          <w:rFonts w:ascii="Dark Courier" w:hAnsi="Dark Courier"/>
          <w:bCs/>
        </w:rPr>
        <w:t>, as well as the names and addresses of all Commonwealth witnesses, the criminal records of all Commonwealth witnesses, and any other information constitutionally required to be turned over to the defense.</w:t>
      </w:r>
      <w:r w:rsidR="00A50F08" w:rsidRPr="00A50F08">
        <w:rPr>
          <w:rFonts w:ascii="Dark Courier" w:hAnsi="Dark Courier"/>
          <w:bCs/>
        </w:rPr>
        <w:tab/>
      </w:r>
    </w:p>
    <w:p w:rsidR="002448FD" w:rsidRDefault="00A50F08" w:rsidP="002448FD">
      <w:pPr>
        <w:spacing w:line="480" w:lineRule="auto"/>
        <w:jc w:val="both"/>
        <w:rPr>
          <w:rFonts w:ascii="Dark Courier" w:hAnsi="Dark Courier"/>
          <w:bCs/>
        </w:rPr>
      </w:pPr>
      <w:r w:rsidRPr="00A50F08">
        <w:rPr>
          <w:rFonts w:ascii="Dark Courier" w:hAnsi="Dark Courier"/>
          <w:bCs/>
        </w:rPr>
        <w:tab/>
      </w:r>
      <w:r w:rsidR="00A136EE">
        <w:rPr>
          <w:rFonts w:ascii="Dark Courier" w:hAnsi="Dark Courier"/>
          <w:bCs/>
        </w:rPr>
        <w:t xml:space="preserve">On </w:t>
      </w:r>
      <w:r w:rsidR="008001E7">
        <w:rPr>
          <w:rFonts w:ascii="Dark Courier" w:hAnsi="Dark Courier"/>
          <w:bCs/>
        </w:rPr>
        <w:t>January 6</w:t>
      </w:r>
      <w:r w:rsidR="00A136EE">
        <w:rPr>
          <w:rFonts w:ascii="Dark Courier" w:hAnsi="Dark Courier"/>
          <w:bCs/>
        </w:rPr>
        <w:t xml:space="preserve">, </w:t>
      </w:r>
      <w:r w:rsidR="00200495">
        <w:rPr>
          <w:rFonts w:ascii="Dark Courier" w:hAnsi="Dark Courier"/>
          <w:bCs/>
        </w:rPr>
        <w:t xml:space="preserve">2012, a hearing was held on the Defendant’s </w:t>
      </w:r>
      <w:r w:rsidR="00B043D5">
        <w:rPr>
          <w:rFonts w:ascii="Dark Courier" w:hAnsi="Dark Courier"/>
          <w:bCs/>
        </w:rPr>
        <w:t xml:space="preserve">“Amended Omnibus Pre-Trial </w:t>
      </w:r>
      <w:r w:rsidR="00200495">
        <w:rPr>
          <w:rFonts w:ascii="Dark Courier" w:hAnsi="Dark Courier"/>
          <w:bCs/>
        </w:rPr>
        <w:t>Motion,</w:t>
      </w:r>
      <w:r w:rsidR="00B043D5">
        <w:rPr>
          <w:rFonts w:ascii="Dark Courier" w:hAnsi="Dark Courier"/>
          <w:bCs/>
        </w:rPr>
        <w:t>”</w:t>
      </w:r>
      <w:r w:rsidR="00200495">
        <w:rPr>
          <w:rFonts w:ascii="Dark Courier" w:hAnsi="Dark Courier"/>
          <w:bCs/>
        </w:rPr>
        <w:t xml:space="preserve"> at</w:t>
      </w:r>
      <w:r w:rsidR="00B043D5">
        <w:rPr>
          <w:rFonts w:ascii="Dark Courier" w:hAnsi="Dark Courier"/>
          <w:bCs/>
        </w:rPr>
        <w:t xml:space="preserve"> the conclusion of</w:t>
      </w:r>
      <w:r w:rsidR="00200495">
        <w:rPr>
          <w:rFonts w:ascii="Dark Courier" w:hAnsi="Dark Courier"/>
          <w:bCs/>
        </w:rPr>
        <w:t xml:space="preserve"> which</w:t>
      </w:r>
      <w:r w:rsidR="00A136EE">
        <w:rPr>
          <w:rFonts w:ascii="Dark Courier" w:hAnsi="Dark Courier"/>
          <w:bCs/>
        </w:rPr>
        <w:t xml:space="preserve"> </w:t>
      </w:r>
      <w:r w:rsidR="00200495">
        <w:rPr>
          <w:rFonts w:ascii="Dark Courier" w:hAnsi="Dark Courier"/>
          <w:bCs/>
        </w:rPr>
        <w:t xml:space="preserve">the parties </w:t>
      </w:r>
      <w:r w:rsidR="008001E7">
        <w:rPr>
          <w:rFonts w:ascii="Dark Courier" w:hAnsi="Dark Courier"/>
          <w:bCs/>
        </w:rPr>
        <w:t>requested an opportunity to submit briefs on the matter</w:t>
      </w:r>
      <w:r w:rsidR="00A136EE">
        <w:rPr>
          <w:rFonts w:ascii="Dark Courier" w:hAnsi="Dark Courier"/>
          <w:bCs/>
        </w:rPr>
        <w:t xml:space="preserve">. </w:t>
      </w:r>
      <w:r w:rsidR="00A55E84">
        <w:rPr>
          <w:rFonts w:ascii="Dark Courier" w:hAnsi="Dark Courier"/>
          <w:bCs/>
        </w:rPr>
        <w:t xml:space="preserve">On </w:t>
      </w:r>
      <w:r w:rsidR="008001E7">
        <w:rPr>
          <w:rFonts w:ascii="Dark Courier" w:hAnsi="Dark Courier"/>
          <w:bCs/>
        </w:rPr>
        <w:t>January 6, 2012</w:t>
      </w:r>
      <w:r w:rsidR="00A55E84">
        <w:rPr>
          <w:rFonts w:ascii="Dark Courier" w:hAnsi="Dark Courier"/>
          <w:bCs/>
        </w:rPr>
        <w:t xml:space="preserve">, this Court issued an Order directing the Defendant to submit </w:t>
      </w:r>
      <w:r w:rsidR="008001E7">
        <w:rPr>
          <w:rFonts w:ascii="Dark Courier" w:hAnsi="Dark Courier"/>
          <w:bCs/>
        </w:rPr>
        <w:t>an additional brief</w:t>
      </w:r>
      <w:r w:rsidR="00A55E84">
        <w:rPr>
          <w:rFonts w:ascii="Dark Courier" w:hAnsi="Dark Courier"/>
          <w:bCs/>
        </w:rPr>
        <w:t xml:space="preserve"> to the Court on or before </w:t>
      </w:r>
      <w:r w:rsidR="008001E7">
        <w:rPr>
          <w:rFonts w:ascii="Dark Courier" w:hAnsi="Dark Courier"/>
          <w:bCs/>
        </w:rPr>
        <w:t>January 13, 2012</w:t>
      </w:r>
      <w:r w:rsidR="00A55E84">
        <w:rPr>
          <w:rFonts w:ascii="Dark Courier" w:hAnsi="Dark Courier"/>
          <w:bCs/>
        </w:rPr>
        <w:t xml:space="preserve">, and directing the </w:t>
      </w:r>
      <w:r w:rsidR="00B043D5">
        <w:rPr>
          <w:rFonts w:ascii="Dark Courier" w:hAnsi="Dark Courier"/>
          <w:bCs/>
        </w:rPr>
        <w:t>Commonwealth to file a</w:t>
      </w:r>
      <w:r w:rsidR="00A55E84">
        <w:rPr>
          <w:rFonts w:ascii="Dark Courier" w:hAnsi="Dark Courier"/>
          <w:bCs/>
        </w:rPr>
        <w:t xml:space="preserve"> response</w:t>
      </w:r>
      <w:r w:rsidR="00B043D5">
        <w:rPr>
          <w:rFonts w:ascii="Dark Courier" w:hAnsi="Dark Courier"/>
          <w:bCs/>
        </w:rPr>
        <w:t xml:space="preserve"> brief</w:t>
      </w:r>
      <w:r w:rsidR="00A55E84">
        <w:rPr>
          <w:rFonts w:ascii="Dark Courier" w:hAnsi="Dark Courier"/>
          <w:bCs/>
        </w:rPr>
        <w:t xml:space="preserve"> on or before </w:t>
      </w:r>
      <w:r w:rsidR="008001E7">
        <w:rPr>
          <w:rFonts w:ascii="Dark Courier" w:hAnsi="Dark Courier"/>
          <w:bCs/>
        </w:rPr>
        <w:t>January 27, 2012</w:t>
      </w:r>
      <w:r w:rsidR="00A55E84">
        <w:rPr>
          <w:rFonts w:ascii="Dark Courier" w:hAnsi="Dark Courier"/>
          <w:bCs/>
        </w:rPr>
        <w:t>.</w:t>
      </w:r>
      <w:r w:rsidR="00C16B2E">
        <w:rPr>
          <w:rFonts w:ascii="Dark Courier" w:hAnsi="Dark Courier"/>
          <w:bCs/>
        </w:rPr>
        <w:t xml:space="preserve"> Having already filed a brief in support of the Motion on January 6, 2012, the Defendant did not file any further briefs. On January 20, 20</w:t>
      </w:r>
      <w:r w:rsidR="0059742A">
        <w:rPr>
          <w:rFonts w:ascii="Dark Courier" w:hAnsi="Dark Courier"/>
          <w:bCs/>
        </w:rPr>
        <w:t>12, the Commonwealth filed its “Brief in Opposition to</w:t>
      </w:r>
      <w:r w:rsidR="00B043D5">
        <w:rPr>
          <w:rFonts w:ascii="Dark Courier" w:hAnsi="Dark Courier"/>
          <w:bCs/>
        </w:rPr>
        <w:t xml:space="preserve"> Defendant’s</w:t>
      </w:r>
      <w:r w:rsidR="00C16B2E">
        <w:rPr>
          <w:rFonts w:ascii="Dark Courier" w:hAnsi="Dark Courier"/>
          <w:bCs/>
        </w:rPr>
        <w:t xml:space="preserve"> </w:t>
      </w:r>
      <w:r w:rsidR="0059742A">
        <w:rPr>
          <w:rFonts w:ascii="Dark Courier" w:hAnsi="Dark Courier"/>
          <w:bCs/>
        </w:rPr>
        <w:t xml:space="preserve">Omnibus Pre-Trial </w:t>
      </w:r>
      <w:r w:rsidR="00C16B2E">
        <w:rPr>
          <w:rFonts w:ascii="Dark Courier" w:hAnsi="Dark Courier"/>
          <w:bCs/>
        </w:rPr>
        <w:t>Motion.</w:t>
      </w:r>
      <w:r w:rsidR="0059742A">
        <w:rPr>
          <w:rFonts w:ascii="Dark Courier" w:hAnsi="Dark Courier"/>
          <w:bCs/>
        </w:rPr>
        <w:t>”</w:t>
      </w:r>
      <w:r w:rsidR="00C16B2E">
        <w:rPr>
          <w:rFonts w:ascii="Dark Courier" w:hAnsi="Dark Courier"/>
          <w:bCs/>
        </w:rPr>
        <w:t xml:space="preserve"> </w:t>
      </w:r>
    </w:p>
    <w:p w:rsidR="00AF2782" w:rsidRDefault="00AF2782" w:rsidP="00AF2782">
      <w:pPr>
        <w:spacing w:line="480" w:lineRule="auto"/>
        <w:jc w:val="center"/>
        <w:rPr>
          <w:rFonts w:ascii="Dark Courier" w:hAnsi="Dark Courier"/>
          <w:b/>
          <w:u w:val="single"/>
        </w:rPr>
      </w:pPr>
    </w:p>
    <w:p w:rsidR="00AF2782" w:rsidRDefault="00AF2782" w:rsidP="00AF2782">
      <w:pPr>
        <w:spacing w:line="480" w:lineRule="auto"/>
        <w:jc w:val="center"/>
        <w:rPr>
          <w:rFonts w:ascii="Dark Courier" w:hAnsi="Dark Courier"/>
          <w:b/>
          <w:u w:val="single"/>
        </w:rPr>
      </w:pPr>
    </w:p>
    <w:p w:rsidR="00C16B2E" w:rsidRPr="00AF2782" w:rsidRDefault="006655AC" w:rsidP="00AF2782">
      <w:pPr>
        <w:spacing w:line="480" w:lineRule="auto"/>
        <w:jc w:val="center"/>
        <w:rPr>
          <w:rFonts w:ascii="Dark Courier" w:hAnsi="Dark Courier"/>
          <w:b/>
          <w:bCs/>
        </w:rPr>
      </w:pPr>
      <w:r w:rsidRPr="002448FD">
        <w:rPr>
          <w:rFonts w:ascii="Dark Courier" w:hAnsi="Dark Courier"/>
          <w:b/>
          <w:u w:val="single"/>
        </w:rPr>
        <w:t>DISCUSSION</w:t>
      </w:r>
    </w:p>
    <w:p w:rsidR="00C16B2E" w:rsidRDefault="00C16B2E" w:rsidP="0076399A">
      <w:pPr>
        <w:pStyle w:val="BodyText"/>
        <w:spacing w:line="480" w:lineRule="auto"/>
        <w:jc w:val="both"/>
        <w:rPr>
          <w:rFonts w:ascii="Dark Courier" w:hAnsi="Dark Courier"/>
          <w:u w:val="single"/>
        </w:rPr>
      </w:pPr>
      <w:r>
        <w:rPr>
          <w:rFonts w:ascii="Dark Courier" w:hAnsi="Dark Courier"/>
          <w:b w:val="0"/>
        </w:rPr>
        <w:tab/>
        <w:t xml:space="preserve">Pursuant to </w:t>
      </w:r>
      <w:r w:rsidR="0059742A">
        <w:rPr>
          <w:rFonts w:ascii="Dark Courier" w:hAnsi="Dark Courier"/>
          <w:b w:val="0"/>
        </w:rPr>
        <w:t>Pennsylvania Rule of Criminal Procedure</w:t>
      </w:r>
      <w:r>
        <w:rPr>
          <w:rFonts w:ascii="Dark Courier" w:hAnsi="Dark Courier"/>
          <w:b w:val="0"/>
        </w:rPr>
        <w:t xml:space="preserve"> 578, all pretrial requests for relief must be included in a single omnibus motion, unless the interests of justice require otherwise. Such requests for relief typically include a motion for the suppression of evidence. </w:t>
      </w:r>
      <w:r>
        <w:rPr>
          <w:rFonts w:ascii="Dark Courier" w:hAnsi="Dark Courier"/>
          <w:b w:val="0"/>
          <w:u w:val="single"/>
        </w:rPr>
        <w:t>See</w:t>
      </w:r>
      <w:r>
        <w:rPr>
          <w:rFonts w:ascii="Dark Courier" w:hAnsi="Dark Courier"/>
          <w:b w:val="0"/>
        </w:rPr>
        <w:t xml:space="preserve"> Comment to Pa. R. Crim. P. 578.</w:t>
      </w:r>
      <w:r w:rsidR="002448FD" w:rsidRPr="002448FD">
        <w:rPr>
          <w:rStyle w:val="FootnoteReference"/>
          <w:rFonts w:ascii="Dark Courier" w:hAnsi="Dark Courier"/>
        </w:rPr>
        <w:t xml:space="preserve"> </w:t>
      </w:r>
      <w:r w:rsidR="002448FD" w:rsidRPr="0059742A">
        <w:rPr>
          <w:rStyle w:val="FootnoteReference"/>
          <w:rFonts w:ascii="Dark Courier" w:hAnsi="Dark Courier"/>
        </w:rPr>
        <w:footnoteReference w:id="2"/>
      </w:r>
    </w:p>
    <w:p w:rsidR="0076399A" w:rsidRPr="0076399A" w:rsidRDefault="0076399A" w:rsidP="0076399A">
      <w:pPr>
        <w:pStyle w:val="BodyText"/>
        <w:spacing w:line="480" w:lineRule="auto"/>
        <w:jc w:val="center"/>
        <w:rPr>
          <w:rFonts w:ascii="Dark Courier" w:hAnsi="Dark Courier"/>
        </w:rPr>
      </w:pPr>
      <w:r w:rsidRPr="0076399A">
        <w:rPr>
          <w:rFonts w:ascii="Dark Courier" w:hAnsi="Dark Courier"/>
          <w:bCs w:val="0"/>
        </w:rPr>
        <w:t>A.</w:t>
      </w:r>
      <w:r w:rsidRPr="0076399A">
        <w:rPr>
          <w:rFonts w:ascii="Dark Courier" w:hAnsi="Dark Courier"/>
        </w:rPr>
        <w:t xml:space="preserve"> </w:t>
      </w:r>
      <w:r w:rsidR="00C16B2E" w:rsidRPr="0076399A">
        <w:rPr>
          <w:rFonts w:ascii="Dark Courier" w:hAnsi="Dark Courier"/>
        </w:rPr>
        <w:t>Motion to Suppress Search of Home</w:t>
      </w:r>
      <w:r w:rsidRPr="0076399A">
        <w:rPr>
          <w:rFonts w:ascii="Dark Courier" w:hAnsi="Dark Courier"/>
        </w:rPr>
        <w:t xml:space="preserve">: </w:t>
      </w:r>
      <w:r w:rsidR="00C16B2E" w:rsidRPr="0076399A">
        <w:rPr>
          <w:rFonts w:ascii="Dark Courier" w:hAnsi="Dark Courier"/>
        </w:rPr>
        <w:t>No Probable Cause</w:t>
      </w:r>
    </w:p>
    <w:p w:rsidR="004867BB" w:rsidRPr="004867BB" w:rsidRDefault="00C16B2E" w:rsidP="004867BB">
      <w:pPr>
        <w:pStyle w:val="BodyText"/>
        <w:spacing w:line="480" w:lineRule="auto"/>
        <w:ind w:firstLine="720"/>
        <w:jc w:val="both"/>
        <w:rPr>
          <w:rFonts w:ascii="Dark Courier" w:hAnsi="Dark Courier"/>
          <w:b w:val="0"/>
        </w:rPr>
      </w:pPr>
      <w:r w:rsidRPr="00C16B2E">
        <w:rPr>
          <w:rFonts w:ascii="Dark Courier" w:hAnsi="Dark Courier"/>
          <w:b w:val="0"/>
        </w:rPr>
        <w:t xml:space="preserve"> </w:t>
      </w:r>
      <w:bookmarkStart w:id="0" w:name="______#HN;F9"/>
      <w:bookmarkStart w:id="1" w:name="B91996222527"/>
      <w:bookmarkStart w:id="2" w:name="______#HN;F10"/>
      <w:bookmarkStart w:id="3" w:name="B101996222527"/>
      <w:bookmarkStart w:id="4" w:name="______#HN;F11"/>
      <w:bookmarkStart w:id="5" w:name="B111996222527"/>
      <w:bookmarkStart w:id="6" w:name="______#HN;F12"/>
      <w:bookmarkStart w:id="7" w:name="B121996222527"/>
      <w:bookmarkStart w:id="8" w:name="______#HN;F13"/>
      <w:bookmarkStart w:id="9" w:name="B131996222527"/>
      <w:bookmarkStart w:id="10" w:name="______#HN;F14"/>
      <w:bookmarkStart w:id="11" w:name="B141996222527"/>
      <w:bookmarkStart w:id="12" w:name="sp_999_4"/>
      <w:bookmarkStart w:id="13" w:name="SDU_4"/>
      <w:bookmarkEnd w:id="0"/>
      <w:bookmarkEnd w:id="1"/>
      <w:bookmarkEnd w:id="2"/>
      <w:bookmarkEnd w:id="3"/>
      <w:bookmarkEnd w:id="4"/>
      <w:bookmarkEnd w:id="5"/>
      <w:bookmarkEnd w:id="6"/>
      <w:bookmarkEnd w:id="7"/>
      <w:bookmarkEnd w:id="8"/>
      <w:bookmarkEnd w:id="9"/>
      <w:bookmarkEnd w:id="10"/>
      <w:bookmarkEnd w:id="11"/>
      <w:r w:rsidR="004867BB">
        <w:rPr>
          <w:rFonts w:ascii="Dark Courier" w:hAnsi="Dark Courier"/>
          <w:b w:val="0"/>
        </w:rPr>
        <w:t>It is established that “(i)</w:t>
      </w:r>
      <w:r w:rsidRPr="00C16B2E">
        <w:rPr>
          <w:rFonts w:ascii="Dark Courier" w:hAnsi="Dark Courier"/>
          <w:b w:val="0"/>
        </w:rPr>
        <w:t xml:space="preserve">n determining whether probable cause exists to issue a search warrant, Pennsylvania applies the ‘totality of the circumstances’ test as set out in </w:t>
      </w:r>
      <w:r w:rsidRPr="00B043D5">
        <w:rPr>
          <w:rFonts w:ascii="Dark Courier" w:hAnsi="Dark Courier"/>
          <w:b w:val="0"/>
          <w:iCs/>
          <w:u w:val="single"/>
        </w:rPr>
        <w:t>Illinois v. Gates</w:t>
      </w:r>
      <w:r w:rsidRPr="00C16B2E">
        <w:rPr>
          <w:rFonts w:ascii="Dark Courier" w:hAnsi="Dark Courier"/>
          <w:b w:val="0"/>
          <w:i/>
          <w:iCs/>
        </w:rPr>
        <w:t>,</w:t>
      </w:r>
      <w:r w:rsidRPr="00C16B2E">
        <w:rPr>
          <w:rFonts w:ascii="Dark Courier" w:hAnsi="Dark Courier"/>
          <w:b w:val="0"/>
        </w:rPr>
        <w:t xml:space="preserve"> 462 U.S. 213, 103 </w:t>
      </w:r>
      <w:proofErr w:type="spellStart"/>
      <w:r w:rsidRPr="00C16B2E">
        <w:rPr>
          <w:rFonts w:ascii="Dark Courier" w:hAnsi="Dark Courier"/>
          <w:b w:val="0"/>
        </w:rPr>
        <w:t>S.Ct</w:t>
      </w:r>
      <w:proofErr w:type="spellEnd"/>
      <w:r w:rsidRPr="00C16B2E">
        <w:rPr>
          <w:rFonts w:ascii="Dark Courier" w:hAnsi="Dark Courier"/>
          <w:b w:val="0"/>
        </w:rPr>
        <w:t xml:space="preserve">. 2317, 76 L.Ed.2d 527 (1983) and adopted in </w:t>
      </w:r>
      <w:r w:rsidRPr="00B043D5">
        <w:rPr>
          <w:rFonts w:ascii="Dark Courier" w:hAnsi="Dark Courier"/>
          <w:b w:val="0"/>
          <w:iCs/>
          <w:u w:val="single"/>
        </w:rPr>
        <w:t>Commonwealth v. Gray</w:t>
      </w:r>
      <w:r w:rsidRPr="00C16B2E">
        <w:rPr>
          <w:rFonts w:ascii="Dark Courier" w:hAnsi="Dark Courier"/>
          <w:b w:val="0"/>
          <w:i/>
          <w:iCs/>
        </w:rPr>
        <w:t>,</w:t>
      </w:r>
      <w:r w:rsidRPr="00C16B2E">
        <w:rPr>
          <w:rFonts w:ascii="Dark Courier" w:hAnsi="Dark Courier"/>
          <w:b w:val="0"/>
        </w:rPr>
        <w:t xml:space="preserve"> 503 A.2d 921 (</w:t>
      </w:r>
      <w:r w:rsidR="0059742A">
        <w:rPr>
          <w:rFonts w:ascii="Dark Courier" w:hAnsi="Dark Courier"/>
          <w:b w:val="0"/>
        </w:rPr>
        <w:t xml:space="preserve">Pa. </w:t>
      </w:r>
      <w:r w:rsidRPr="00C16B2E">
        <w:rPr>
          <w:rFonts w:ascii="Dark Courier" w:hAnsi="Dark Courier"/>
          <w:b w:val="0"/>
        </w:rPr>
        <w:t xml:space="preserve">1985).” </w:t>
      </w:r>
      <w:proofErr w:type="gramStart"/>
      <w:r w:rsidR="004867BB" w:rsidRPr="0076399A">
        <w:rPr>
          <w:rFonts w:ascii="Dark Courier" w:hAnsi="Dark Courier"/>
          <w:b w:val="0"/>
          <w:u w:val="single"/>
        </w:rPr>
        <w:t>Commonwealth v. Sharp</w:t>
      </w:r>
      <w:r w:rsidR="004867BB" w:rsidRPr="00C16B2E">
        <w:rPr>
          <w:rFonts w:ascii="Dark Courier" w:hAnsi="Dark Courier"/>
          <w:b w:val="0"/>
        </w:rPr>
        <w:t>, 683 A</w:t>
      </w:r>
      <w:r w:rsidR="004867BB">
        <w:rPr>
          <w:rFonts w:ascii="Dark Courier" w:hAnsi="Dark Courier"/>
          <w:b w:val="0"/>
        </w:rPr>
        <w:t>.2d 1219, 1223 (Pa. Super. 1996)</w:t>
      </w:r>
      <w:r w:rsidR="004867BB" w:rsidRPr="00C16B2E">
        <w:rPr>
          <w:rFonts w:ascii="Dark Courier" w:hAnsi="Dark Courier"/>
          <w:b w:val="0"/>
        </w:rPr>
        <w:t>.</w:t>
      </w:r>
      <w:proofErr w:type="gramEnd"/>
      <w:r w:rsidR="004867BB">
        <w:rPr>
          <w:rFonts w:ascii="Dark Courier" w:hAnsi="Dark Courier"/>
          <w:b w:val="0"/>
        </w:rPr>
        <w:t xml:space="preserve">  </w:t>
      </w:r>
      <w:r w:rsidR="0059742A">
        <w:rPr>
          <w:rFonts w:ascii="Dark Courier" w:hAnsi="Dark Courier"/>
          <w:b w:val="0"/>
        </w:rPr>
        <w:t>Pursuant to the</w:t>
      </w:r>
      <w:r w:rsidR="00B043D5">
        <w:rPr>
          <w:rFonts w:ascii="Dark Courier" w:hAnsi="Dark Courier"/>
          <w:b w:val="0"/>
        </w:rPr>
        <w:t xml:space="preserve"> Superior Court’s decision in </w:t>
      </w:r>
      <w:r w:rsidR="00B043D5">
        <w:rPr>
          <w:rFonts w:ascii="Dark Courier" w:hAnsi="Dark Courier"/>
          <w:b w:val="0"/>
          <w:u w:val="single"/>
        </w:rPr>
        <w:t>Sharp</w:t>
      </w:r>
      <w:r w:rsidR="00B043D5">
        <w:rPr>
          <w:rFonts w:ascii="Dark Courier" w:hAnsi="Dark Courier"/>
          <w:b w:val="0"/>
        </w:rPr>
        <w:t>, “[a]</w:t>
      </w:r>
      <w:r w:rsidR="00B043D5" w:rsidRPr="00C16B2E">
        <w:rPr>
          <w:rFonts w:ascii="Dark Courier" w:hAnsi="Dark Courier"/>
          <w:b w:val="0"/>
        </w:rPr>
        <w:t>n affidavit for a search warrant is to be tested by this court with common sense and a realistic manner, and not subjected to overly technical interpretations; the magistrate's determination of probable cause is to be accorded great deference on review.</w:t>
      </w:r>
      <w:r w:rsidR="00B043D5">
        <w:rPr>
          <w:rFonts w:ascii="Dark Courier" w:hAnsi="Dark Courier"/>
          <w:b w:val="0"/>
        </w:rPr>
        <w:t xml:space="preserve">”  </w:t>
      </w:r>
      <w:r w:rsidR="00B043D5" w:rsidRPr="0076399A">
        <w:rPr>
          <w:rFonts w:ascii="Dark Courier" w:hAnsi="Dark Courier"/>
          <w:b w:val="0"/>
          <w:u w:val="single"/>
        </w:rPr>
        <w:t>Sharp</w:t>
      </w:r>
      <w:r w:rsidR="00B043D5" w:rsidRPr="00C16B2E">
        <w:rPr>
          <w:rFonts w:ascii="Dark Courier" w:hAnsi="Dark Courier"/>
          <w:b w:val="0"/>
        </w:rPr>
        <w:t xml:space="preserve">, </w:t>
      </w:r>
      <w:proofErr w:type="gramStart"/>
      <w:r w:rsidR="00B043D5" w:rsidRPr="00C16B2E">
        <w:rPr>
          <w:rFonts w:ascii="Dark Courier" w:hAnsi="Dark Courier"/>
          <w:b w:val="0"/>
        </w:rPr>
        <w:t>663 A.2d at 1223</w:t>
      </w:r>
      <w:proofErr w:type="gramEnd"/>
      <w:r w:rsidR="00B043D5" w:rsidRPr="00C16B2E">
        <w:rPr>
          <w:rFonts w:ascii="Dark Courier" w:hAnsi="Dark Courier"/>
          <w:b w:val="0"/>
        </w:rPr>
        <w:t>.</w:t>
      </w:r>
      <w:r w:rsidR="00B043D5">
        <w:rPr>
          <w:rFonts w:ascii="Dark Courier" w:hAnsi="Dark Courier"/>
          <w:b w:val="0"/>
        </w:rPr>
        <w:t xml:space="preserve">  O</w:t>
      </w:r>
      <w:r w:rsidR="004867BB">
        <w:rPr>
          <w:rFonts w:ascii="Dark Courier" w:hAnsi="Dark Courier"/>
          <w:b w:val="0"/>
        </w:rPr>
        <w:t>nly that</w:t>
      </w:r>
      <w:r w:rsidR="004867BB" w:rsidRPr="004867BB">
        <w:rPr>
          <w:rFonts w:ascii="Dark Courier" w:hAnsi="Dark Courier"/>
          <w:b w:val="0"/>
        </w:rPr>
        <w:t xml:space="preserve"> probability of criminal </w:t>
      </w:r>
      <w:r w:rsidR="004867BB" w:rsidRPr="004867BB">
        <w:rPr>
          <w:rFonts w:ascii="Dark Courier" w:hAnsi="Dark Courier"/>
          <w:b w:val="0"/>
        </w:rPr>
        <w:lastRenderedPageBreak/>
        <w:t xml:space="preserve">activity, and </w:t>
      </w:r>
      <w:r w:rsidR="004867BB">
        <w:rPr>
          <w:rFonts w:ascii="Dark Courier" w:hAnsi="Dark Courier"/>
          <w:b w:val="0"/>
        </w:rPr>
        <w:t xml:space="preserve">not a prima facie showing, </w:t>
      </w:r>
      <w:r w:rsidR="004867BB" w:rsidRPr="004867BB">
        <w:rPr>
          <w:rFonts w:ascii="Dark Courier" w:hAnsi="Dark Courier"/>
          <w:b w:val="0"/>
        </w:rPr>
        <w:t xml:space="preserve">is required to meet the standard of probable cause.  </w:t>
      </w:r>
      <w:proofErr w:type="gramStart"/>
      <w:r w:rsidR="004867BB" w:rsidRPr="00B043D5">
        <w:rPr>
          <w:rFonts w:ascii="Dark Courier" w:hAnsi="Dark Courier"/>
          <w:b w:val="0"/>
          <w:u w:val="single"/>
        </w:rPr>
        <w:t>Commonwealth v. Days</w:t>
      </w:r>
      <w:r w:rsidR="004867BB" w:rsidRPr="004867BB">
        <w:rPr>
          <w:rFonts w:ascii="Dark Courier" w:hAnsi="Dark Courier"/>
          <w:b w:val="0"/>
        </w:rPr>
        <w:t>, 718 A.2d 797, 800 (Pa. Super. 1998).</w:t>
      </w:r>
      <w:proofErr w:type="gramEnd"/>
    </w:p>
    <w:p w:rsidR="00B043D5" w:rsidRDefault="00C16B2E" w:rsidP="00B043D5">
      <w:pPr>
        <w:pStyle w:val="BodyText"/>
        <w:spacing w:line="480" w:lineRule="auto"/>
        <w:ind w:firstLine="720"/>
        <w:jc w:val="both"/>
        <w:rPr>
          <w:rFonts w:ascii="Dark Courier" w:hAnsi="Dark Courier"/>
          <w:b w:val="0"/>
        </w:rPr>
      </w:pPr>
      <w:r w:rsidRPr="00C16B2E">
        <w:rPr>
          <w:rFonts w:ascii="Dark Courier" w:hAnsi="Dark Courier"/>
          <w:b w:val="0"/>
        </w:rPr>
        <w:t xml:space="preserve">The totality of the circumstances test states that “[t]he task of the issuing magistrate is simply to make a practical, common-sense decision whether, given all the circumstances set forth in the affidavit before him, including the ‘veracity’ and ‘basis of knowledge’ of persons supplying hearsay information, there is a fair probability that contraband or evidence of a crime will be found in a particular place.” </w:t>
      </w:r>
      <w:r w:rsidRPr="0076399A">
        <w:rPr>
          <w:rFonts w:ascii="Dark Courier" w:hAnsi="Dark Courier"/>
          <w:b w:val="0"/>
          <w:u w:val="single"/>
        </w:rPr>
        <w:t>Gray</w:t>
      </w:r>
      <w:r w:rsidRPr="00C16B2E">
        <w:rPr>
          <w:rFonts w:ascii="Dark Courier" w:hAnsi="Dark Courier"/>
          <w:b w:val="0"/>
        </w:rPr>
        <w:t>, </w:t>
      </w:r>
      <w:proofErr w:type="gramStart"/>
      <w:r w:rsidRPr="00C16B2E">
        <w:rPr>
          <w:rFonts w:ascii="Dark Courier" w:hAnsi="Dark Courier"/>
          <w:b w:val="0"/>
        </w:rPr>
        <w:t xml:space="preserve">503 A.2d </w:t>
      </w:r>
      <w:r w:rsidR="00805D11">
        <w:rPr>
          <w:rFonts w:ascii="Dark Courier" w:hAnsi="Dark Courier"/>
          <w:b w:val="0"/>
        </w:rPr>
        <w:t>at 925</w:t>
      </w:r>
      <w:proofErr w:type="gramEnd"/>
      <w:r w:rsidRPr="00C16B2E">
        <w:rPr>
          <w:rFonts w:ascii="Dark Courier" w:hAnsi="Dark Courier"/>
          <w:b w:val="0"/>
        </w:rPr>
        <w:t xml:space="preserve">. </w:t>
      </w:r>
      <w:bookmarkEnd w:id="12"/>
      <w:bookmarkEnd w:id="13"/>
    </w:p>
    <w:p w:rsidR="00FE20CC" w:rsidRPr="00B043D5" w:rsidRDefault="003F3C3C" w:rsidP="00B043D5">
      <w:pPr>
        <w:pStyle w:val="BodyText"/>
        <w:spacing w:line="480" w:lineRule="auto"/>
        <w:ind w:firstLine="720"/>
        <w:jc w:val="both"/>
        <w:rPr>
          <w:rFonts w:ascii="Dark Courier" w:hAnsi="Dark Courier"/>
          <w:b w:val="0"/>
        </w:rPr>
      </w:pPr>
      <w:r>
        <w:rPr>
          <w:rFonts w:ascii="Dark Courier" w:hAnsi="Dark Courier"/>
          <w:b w:val="0"/>
        </w:rPr>
        <w:t>Because “a</w:t>
      </w:r>
      <w:r w:rsidR="00C16B2E" w:rsidRPr="00C16B2E">
        <w:rPr>
          <w:rFonts w:ascii="Dark Courier" w:hAnsi="Dark Courier"/>
          <w:b w:val="0"/>
        </w:rPr>
        <w:t xml:space="preserve">ffidavits supporting search </w:t>
      </w:r>
      <w:r w:rsidR="00FE20CC">
        <w:rPr>
          <w:rFonts w:ascii="Dark Courier" w:hAnsi="Dark Courier"/>
          <w:b w:val="0"/>
        </w:rPr>
        <w:t xml:space="preserve">warrants normally are prepared </w:t>
      </w:r>
      <w:r w:rsidR="00C16B2E" w:rsidRPr="00C16B2E">
        <w:rPr>
          <w:rFonts w:ascii="Dark Courier" w:hAnsi="Dark Courier"/>
          <w:b w:val="0"/>
        </w:rPr>
        <w:t>by nonlawyers in the midst and ha</w:t>
      </w:r>
      <w:r>
        <w:rPr>
          <w:rFonts w:ascii="Dark Courier" w:hAnsi="Dark Courier"/>
          <w:b w:val="0"/>
        </w:rPr>
        <w:t>ste of a criminal investigation,” courts should interpret them “</w:t>
      </w:r>
      <w:r w:rsidR="00C16B2E" w:rsidRPr="00C16B2E">
        <w:rPr>
          <w:rFonts w:ascii="Dark Courier" w:hAnsi="Dark Courier"/>
          <w:b w:val="0"/>
        </w:rPr>
        <w:t xml:space="preserve">in a ‘common sense and realistic’ fashion rather than in a hypertechnical manner.” </w:t>
      </w:r>
      <w:r>
        <w:rPr>
          <w:rFonts w:ascii="Dark Courier" w:hAnsi="Dark Courier"/>
          <w:b w:val="0"/>
          <w:u w:val="single"/>
        </w:rPr>
        <w:t>Commonwealth</w:t>
      </w:r>
      <w:r w:rsidRPr="003F3C3C">
        <w:rPr>
          <w:rFonts w:ascii="Dark Courier" w:hAnsi="Dark Courier"/>
          <w:b w:val="0"/>
          <w:u w:val="single"/>
        </w:rPr>
        <w:t xml:space="preserve"> v. </w:t>
      </w:r>
      <w:proofErr w:type="spellStart"/>
      <w:r w:rsidRPr="003F3C3C">
        <w:rPr>
          <w:rFonts w:ascii="Dark Courier" w:hAnsi="Dark Courier"/>
          <w:b w:val="0"/>
          <w:u w:val="single"/>
        </w:rPr>
        <w:t>Ensminger</w:t>
      </w:r>
      <w:proofErr w:type="spellEnd"/>
      <w:r>
        <w:rPr>
          <w:rFonts w:ascii="Dark Courier" w:hAnsi="Dark Courier"/>
          <w:b w:val="0"/>
        </w:rPr>
        <w:t xml:space="preserve">, </w:t>
      </w:r>
      <w:r w:rsidRPr="003F3C3C">
        <w:rPr>
          <w:rFonts w:ascii="Dark Courier" w:hAnsi="Dark Courier"/>
          <w:b w:val="0"/>
        </w:rPr>
        <w:t>473 A.2d 116, 120 (</w:t>
      </w:r>
      <w:r>
        <w:rPr>
          <w:rFonts w:ascii="Dark Courier" w:hAnsi="Dark Courier"/>
          <w:b w:val="0"/>
        </w:rPr>
        <w:t xml:space="preserve">Pa. Super. </w:t>
      </w:r>
      <w:r w:rsidRPr="003F3C3C">
        <w:rPr>
          <w:rFonts w:ascii="Dark Courier" w:hAnsi="Dark Courier"/>
          <w:b w:val="0"/>
        </w:rPr>
        <w:t>1984</w:t>
      </w:r>
      <w:r>
        <w:rPr>
          <w:rFonts w:ascii="Dark Courier" w:hAnsi="Dark Courier"/>
          <w:b w:val="0"/>
        </w:rPr>
        <w:t>) (quoting</w:t>
      </w:r>
      <w:r w:rsidRPr="003F3C3C">
        <w:rPr>
          <w:rFonts w:ascii="Dark Courier" w:hAnsi="Dark Courier"/>
          <w:b w:val="0"/>
        </w:rPr>
        <w:t xml:space="preserve"> </w:t>
      </w:r>
      <w:r w:rsidRPr="003F3C3C">
        <w:rPr>
          <w:rFonts w:ascii="Dark Courier" w:hAnsi="Dark Courier"/>
          <w:b w:val="0"/>
          <w:u w:val="single"/>
        </w:rPr>
        <w:t xml:space="preserve">United States v. </w:t>
      </w:r>
      <w:proofErr w:type="spellStart"/>
      <w:r w:rsidRPr="003F3C3C">
        <w:rPr>
          <w:rFonts w:ascii="Dark Courier" w:hAnsi="Dark Courier"/>
          <w:b w:val="0"/>
          <w:u w:val="single"/>
        </w:rPr>
        <w:t>Ventresca</w:t>
      </w:r>
      <w:proofErr w:type="spellEnd"/>
      <w:r w:rsidRPr="003F3C3C">
        <w:rPr>
          <w:rFonts w:ascii="Dark Courier" w:hAnsi="Dark Courier"/>
          <w:b w:val="0"/>
        </w:rPr>
        <w:t>, 380 U.S. 102, 108 (1965)</w:t>
      </w:r>
      <w:r>
        <w:rPr>
          <w:rFonts w:ascii="Dark Courier" w:hAnsi="Dark Courier"/>
          <w:b w:val="0"/>
        </w:rPr>
        <w:t>).</w:t>
      </w:r>
    </w:p>
    <w:p w:rsidR="00805D11" w:rsidRDefault="00C16B2E" w:rsidP="00BB7607">
      <w:pPr>
        <w:pStyle w:val="BodyText"/>
        <w:spacing w:line="480" w:lineRule="auto"/>
        <w:ind w:firstLine="720"/>
        <w:jc w:val="both"/>
        <w:rPr>
          <w:rFonts w:ascii="Dark Courier" w:hAnsi="Dark Courier"/>
          <w:b w:val="0"/>
        </w:rPr>
      </w:pPr>
      <w:r w:rsidRPr="00C16B2E">
        <w:rPr>
          <w:rFonts w:ascii="Dark Courier" w:hAnsi="Dark Courier"/>
          <w:b w:val="0"/>
        </w:rPr>
        <w:t xml:space="preserve">An affidavit of probable cause may be based on hearsay information and need not reflect the direct personal observations of the affiant. </w:t>
      </w:r>
      <w:proofErr w:type="gramStart"/>
      <w:r w:rsidRPr="00FE20CC">
        <w:rPr>
          <w:rFonts w:ascii="Dark Courier" w:hAnsi="Dark Courier"/>
          <w:b w:val="0"/>
          <w:u w:val="single"/>
        </w:rPr>
        <w:t>Commonwealth v. Greco</w:t>
      </w:r>
      <w:r w:rsidRPr="00C16B2E">
        <w:rPr>
          <w:rFonts w:ascii="Dark Courier" w:hAnsi="Dark Courier"/>
          <w:b w:val="0"/>
        </w:rPr>
        <w:t>, 350 A.2d 826 (Pa. 1976).</w:t>
      </w:r>
      <w:proofErr w:type="gramEnd"/>
      <w:r w:rsidRPr="00C16B2E">
        <w:rPr>
          <w:rFonts w:ascii="Dark Courier" w:hAnsi="Dark Courier"/>
          <w:b w:val="0"/>
        </w:rPr>
        <w:t xml:space="preserve"> However, it still must contain “sufficient information to justify the conclusion that a crime has been committed and that evidence or fruits of the crime may be found </w:t>
      </w:r>
      <w:r w:rsidRPr="00C16B2E">
        <w:rPr>
          <w:rFonts w:ascii="Dark Courier" w:hAnsi="Dark Courier"/>
          <w:b w:val="0"/>
        </w:rPr>
        <w:lastRenderedPageBreak/>
        <w:t xml:space="preserve">at the place to be searched.” </w:t>
      </w:r>
      <w:proofErr w:type="gramStart"/>
      <w:r w:rsidRPr="00FE20CC">
        <w:rPr>
          <w:rFonts w:ascii="Dark Courier" w:hAnsi="Dark Courier"/>
          <w:b w:val="0"/>
          <w:u w:val="single"/>
        </w:rPr>
        <w:t>Commonwealth v. Heyward</w:t>
      </w:r>
      <w:r w:rsidRPr="00C16B2E">
        <w:rPr>
          <w:rFonts w:ascii="Dark Courier" w:hAnsi="Dark Courier"/>
          <w:b w:val="0"/>
        </w:rPr>
        <w:t>, 375 A.2d 191, 192 (Pa. Super. 1977).</w:t>
      </w:r>
      <w:proofErr w:type="gramEnd"/>
    </w:p>
    <w:p w:rsidR="00396E3C" w:rsidRDefault="000B3957" w:rsidP="003F3C3C">
      <w:pPr>
        <w:pStyle w:val="BodyText"/>
        <w:spacing w:line="480" w:lineRule="auto"/>
        <w:ind w:firstLine="720"/>
        <w:jc w:val="both"/>
        <w:rPr>
          <w:rFonts w:ascii="Dark Courier" w:hAnsi="Dark Courier"/>
          <w:b w:val="0"/>
        </w:rPr>
      </w:pPr>
      <w:r>
        <w:rPr>
          <w:rFonts w:ascii="Dark Courier" w:hAnsi="Dark Courier"/>
          <w:b w:val="0"/>
        </w:rPr>
        <w:t>D</w:t>
      </w:r>
      <w:r w:rsidR="00805D11" w:rsidRPr="004867BB">
        <w:rPr>
          <w:rFonts w:ascii="Dark Courier" w:hAnsi="Dark Courier"/>
          <w:b w:val="0"/>
        </w:rPr>
        <w:t xml:space="preserve">ue deference should be given to the magistrate </w:t>
      </w:r>
      <w:r w:rsidR="00B043D5">
        <w:rPr>
          <w:rFonts w:ascii="Dark Courier" w:hAnsi="Dark Courier"/>
          <w:b w:val="0"/>
        </w:rPr>
        <w:t>making</w:t>
      </w:r>
      <w:r w:rsidR="00805D11" w:rsidRPr="004867BB">
        <w:rPr>
          <w:rFonts w:ascii="Dark Courier" w:hAnsi="Dark Courier"/>
          <w:b w:val="0"/>
        </w:rPr>
        <w:t xml:space="preserve"> the probable cause determination, recognizing that </w:t>
      </w:r>
      <w:r w:rsidR="00B043D5">
        <w:rPr>
          <w:rFonts w:ascii="Dark Courier" w:hAnsi="Dark Courier"/>
          <w:b w:val="0"/>
        </w:rPr>
        <w:t>he</w:t>
      </w:r>
      <w:r w:rsidR="00805D11" w:rsidRPr="004867BB">
        <w:rPr>
          <w:rFonts w:ascii="Dark Courier" w:hAnsi="Dark Courier"/>
          <w:b w:val="0"/>
        </w:rPr>
        <w:t xml:space="preserve"> is entitled to make reasonable inferences about where evidence is likely to be found</w:t>
      </w:r>
      <w:r w:rsidR="00805D11">
        <w:rPr>
          <w:rFonts w:ascii="Dark Courier" w:hAnsi="Dark Courier"/>
          <w:b w:val="0"/>
        </w:rPr>
        <w:t xml:space="preserve">, and that the possibility that other inferences could be drawn does not mean the inference actually drawn </w:t>
      </w:r>
      <w:r w:rsidR="003F3C3C">
        <w:rPr>
          <w:rFonts w:ascii="Dark Courier" w:hAnsi="Dark Courier"/>
          <w:b w:val="0"/>
        </w:rPr>
        <w:t xml:space="preserve">by the magistrate </w:t>
      </w:r>
      <w:r w:rsidR="00805D11">
        <w:rPr>
          <w:rFonts w:ascii="Dark Courier" w:hAnsi="Dark Courier"/>
          <w:b w:val="0"/>
        </w:rPr>
        <w:t>is an unreasonable one</w:t>
      </w:r>
      <w:r w:rsidR="00805D11" w:rsidRPr="004867BB">
        <w:rPr>
          <w:rFonts w:ascii="Dark Courier" w:hAnsi="Dark Courier"/>
          <w:b w:val="0"/>
        </w:rPr>
        <w:t xml:space="preserve">.  </w:t>
      </w:r>
      <w:proofErr w:type="gramStart"/>
      <w:r w:rsidR="00805D11" w:rsidRPr="000B3957">
        <w:rPr>
          <w:rFonts w:ascii="Dark Courier" w:hAnsi="Dark Courier"/>
          <w:b w:val="0"/>
          <w:u w:val="single"/>
        </w:rPr>
        <w:t>Commonwealth v. Moss</w:t>
      </w:r>
      <w:r w:rsidR="00805D11" w:rsidRPr="004867BB">
        <w:rPr>
          <w:rFonts w:ascii="Dark Courier" w:hAnsi="Dark Courier"/>
          <w:b w:val="0"/>
        </w:rPr>
        <w:t>, 543 A.2d 514, 518 (Pa. 1988).</w:t>
      </w:r>
      <w:proofErr w:type="gramEnd"/>
      <w:r w:rsidR="003F3C3C">
        <w:rPr>
          <w:rFonts w:ascii="Dark Courier" w:hAnsi="Dark Courier"/>
          <w:b w:val="0"/>
        </w:rPr>
        <w:t xml:space="preserve">  </w:t>
      </w:r>
      <w:r w:rsidR="00523EBE">
        <w:rPr>
          <w:rFonts w:ascii="Dark Courier" w:hAnsi="Dark Courier"/>
          <w:b w:val="0"/>
        </w:rPr>
        <w:t>While “</w:t>
      </w:r>
      <w:r w:rsidR="003F3C3C" w:rsidRPr="003F3C3C">
        <w:rPr>
          <w:rFonts w:ascii="Dark Courier" w:hAnsi="Dark Courier"/>
          <w:b w:val="0"/>
        </w:rPr>
        <w:t>in a particular case it may not be easy</w:t>
      </w:r>
      <w:r w:rsidR="00974788">
        <w:rPr>
          <w:rFonts w:ascii="Dark Courier" w:hAnsi="Dark Courier"/>
          <w:b w:val="0"/>
        </w:rPr>
        <w:t>” to determine whether probable cause exists,</w:t>
      </w:r>
      <w:r w:rsidR="003F3C3C" w:rsidRPr="003F3C3C">
        <w:rPr>
          <w:rFonts w:ascii="Dark Courier" w:hAnsi="Dark Courier"/>
          <w:b w:val="0"/>
        </w:rPr>
        <w:t xml:space="preserve"> </w:t>
      </w:r>
      <w:r w:rsidR="00974788">
        <w:rPr>
          <w:rFonts w:ascii="Dark Courier" w:hAnsi="Dark Courier"/>
          <w:b w:val="0"/>
        </w:rPr>
        <w:t>“</w:t>
      </w:r>
      <w:r w:rsidR="003F3C3C" w:rsidRPr="003F3C3C">
        <w:rPr>
          <w:rFonts w:ascii="Dark Courier" w:hAnsi="Dark Courier"/>
          <w:b w:val="0"/>
        </w:rPr>
        <w:t>the resolution of doubtful or marginal cases in this area should be largely determined by the preference to be accorded to wa</w:t>
      </w:r>
      <w:r w:rsidR="003F3C3C">
        <w:rPr>
          <w:rFonts w:ascii="Dark Courier" w:hAnsi="Dark Courier"/>
          <w:b w:val="0"/>
        </w:rPr>
        <w:t>rrants.</w:t>
      </w:r>
      <w:r w:rsidR="00523EBE">
        <w:rPr>
          <w:rFonts w:ascii="Dark Courier" w:hAnsi="Dark Courier"/>
          <w:b w:val="0"/>
        </w:rPr>
        <w:t>”</w:t>
      </w:r>
      <w:r w:rsidR="003F3C3C">
        <w:rPr>
          <w:rFonts w:ascii="Dark Courier" w:hAnsi="Dark Courier"/>
          <w:b w:val="0"/>
        </w:rPr>
        <w:t xml:space="preserve">  </w:t>
      </w:r>
      <w:proofErr w:type="spellStart"/>
      <w:proofErr w:type="gramStart"/>
      <w:r w:rsidR="00523EBE" w:rsidRPr="00523EBE">
        <w:rPr>
          <w:rFonts w:ascii="Dark Courier" w:hAnsi="Dark Courier"/>
          <w:b w:val="0"/>
          <w:u w:val="single"/>
        </w:rPr>
        <w:t>Ventresca</w:t>
      </w:r>
      <w:proofErr w:type="spellEnd"/>
      <w:r w:rsidR="00523EBE">
        <w:rPr>
          <w:rFonts w:ascii="Dark Courier" w:hAnsi="Dark Courier"/>
          <w:b w:val="0"/>
        </w:rPr>
        <w:t>, 380 U.S. at 109 (holding that an affidavit based on information received from investigators’</w:t>
      </w:r>
      <w:r w:rsidR="00396E3C">
        <w:rPr>
          <w:rFonts w:ascii="Dark Courier" w:hAnsi="Dark Courier"/>
          <w:b w:val="0"/>
        </w:rPr>
        <w:t xml:space="preserve"> hearsay reports </w:t>
      </w:r>
      <w:r w:rsidR="00523EBE">
        <w:rPr>
          <w:rFonts w:ascii="Dark Courier" w:hAnsi="Dark Courier"/>
          <w:b w:val="0"/>
        </w:rPr>
        <w:t>was sufficient for a finding of probable cause)</w:t>
      </w:r>
      <w:r w:rsidR="00B043D5">
        <w:rPr>
          <w:rFonts w:ascii="Dark Courier" w:hAnsi="Dark Courier"/>
          <w:b w:val="0"/>
        </w:rPr>
        <w:t xml:space="preserve">; </w:t>
      </w:r>
      <w:r w:rsidR="00B043D5">
        <w:rPr>
          <w:rFonts w:ascii="Dark Courier" w:hAnsi="Dark Courier"/>
          <w:b w:val="0"/>
          <w:u w:val="single"/>
        </w:rPr>
        <w:t xml:space="preserve">Commonwealth v. </w:t>
      </w:r>
      <w:proofErr w:type="spellStart"/>
      <w:r w:rsidR="00B043D5">
        <w:rPr>
          <w:rFonts w:ascii="Dark Courier" w:hAnsi="Dark Courier"/>
          <w:b w:val="0"/>
          <w:u w:val="single"/>
        </w:rPr>
        <w:t>Muscheck</w:t>
      </w:r>
      <w:proofErr w:type="spellEnd"/>
      <w:r w:rsidR="00B043D5">
        <w:rPr>
          <w:rFonts w:ascii="Dark Courier" w:hAnsi="Dark Courier"/>
          <w:b w:val="0"/>
        </w:rPr>
        <w:t>, 334 A.2d 248 (Pa. 1975)</w:t>
      </w:r>
      <w:r w:rsidR="00523EBE">
        <w:rPr>
          <w:rFonts w:ascii="Dark Courier" w:hAnsi="Dark Courier"/>
          <w:b w:val="0"/>
        </w:rPr>
        <w:t>.</w:t>
      </w:r>
      <w:proofErr w:type="gramEnd"/>
      <w:r w:rsidR="00C16B2E" w:rsidRPr="00C16B2E">
        <w:rPr>
          <w:rFonts w:ascii="Dark Courier" w:hAnsi="Dark Courier"/>
          <w:b w:val="0"/>
        </w:rPr>
        <w:tab/>
        <w:t xml:space="preserve"> </w:t>
      </w:r>
    </w:p>
    <w:p w:rsidR="00C16B2E" w:rsidRPr="00C16B2E" w:rsidRDefault="00396E3C" w:rsidP="003F3C3C">
      <w:pPr>
        <w:pStyle w:val="BodyText"/>
        <w:spacing w:line="480" w:lineRule="auto"/>
        <w:ind w:firstLine="720"/>
        <w:jc w:val="both"/>
        <w:rPr>
          <w:rFonts w:ascii="Dark Courier" w:hAnsi="Dark Courier"/>
          <w:b w:val="0"/>
        </w:rPr>
      </w:pPr>
      <w:r w:rsidRPr="00C16B2E">
        <w:rPr>
          <w:rFonts w:ascii="Dark Courier" w:hAnsi="Dark Courier"/>
          <w:b w:val="0"/>
        </w:rPr>
        <w:t xml:space="preserve">In </w:t>
      </w:r>
      <w:r w:rsidRPr="00BB7607">
        <w:rPr>
          <w:rFonts w:ascii="Dark Courier" w:hAnsi="Dark Courier"/>
          <w:b w:val="0"/>
          <w:u w:val="single"/>
        </w:rPr>
        <w:t>Commonwealth v. Banahasky</w:t>
      </w:r>
      <w:r w:rsidRPr="00C16B2E">
        <w:rPr>
          <w:rFonts w:ascii="Dark Courier" w:hAnsi="Dark Courier"/>
          <w:b w:val="0"/>
        </w:rPr>
        <w:t>, 378 A.2d 1257 (Pa. Super. 1977), the</w:t>
      </w:r>
      <w:r w:rsidR="00AD0443">
        <w:rPr>
          <w:rFonts w:ascii="Dark Courier" w:hAnsi="Dark Courier"/>
          <w:b w:val="0"/>
        </w:rPr>
        <w:t xml:space="preserve"> Superior</w:t>
      </w:r>
      <w:r w:rsidRPr="00C16B2E">
        <w:rPr>
          <w:rFonts w:ascii="Dark Courier" w:hAnsi="Dark Courier"/>
          <w:b w:val="0"/>
        </w:rPr>
        <w:t xml:space="preserve"> Court determined that the arrest of a person found in possession of four packets of marijuana did not </w:t>
      </w:r>
      <w:r w:rsidR="000B3957">
        <w:rPr>
          <w:rFonts w:ascii="Dark Courier" w:hAnsi="Dark Courier"/>
          <w:b w:val="0"/>
        </w:rPr>
        <w:t>provide</w:t>
      </w:r>
      <w:r w:rsidRPr="00C16B2E">
        <w:rPr>
          <w:rFonts w:ascii="Dark Courier" w:hAnsi="Dark Courier"/>
          <w:b w:val="0"/>
        </w:rPr>
        <w:t xml:space="preserve"> probable cause to believe that more marijuana would be found in that person’s residence. </w:t>
      </w:r>
      <w:r w:rsidR="000B3957">
        <w:rPr>
          <w:rFonts w:ascii="Dark Courier" w:hAnsi="Dark Courier"/>
          <w:b w:val="0"/>
        </w:rPr>
        <w:t xml:space="preserve">The Court noted that </w:t>
      </w:r>
      <w:r w:rsidR="000B3957" w:rsidRPr="00396E3C">
        <w:rPr>
          <w:rFonts w:ascii="Dark Courier" w:hAnsi="Dark Courier"/>
          <w:b w:val="0"/>
        </w:rPr>
        <w:t xml:space="preserve">there was </w:t>
      </w:r>
      <w:r w:rsidR="000B3957">
        <w:rPr>
          <w:rFonts w:ascii="Dark Courier" w:hAnsi="Dark Courier"/>
          <w:b w:val="0"/>
        </w:rPr>
        <w:t>“</w:t>
      </w:r>
      <w:r w:rsidR="000B3957" w:rsidRPr="00396E3C">
        <w:rPr>
          <w:rFonts w:ascii="Dark Courier" w:hAnsi="Dark Courier"/>
          <w:b w:val="0"/>
        </w:rPr>
        <w:t>no reason to believe that he possessed any additional drugs, and therefore no probable cause to believe that he had left any additional drugs at the house</w:t>
      </w:r>
      <w:r w:rsidR="000B3957">
        <w:rPr>
          <w:rFonts w:ascii="Dark Courier" w:hAnsi="Dark Courier"/>
          <w:b w:val="0"/>
        </w:rPr>
        <w:t xml:space="preserve"> where he happened to be staying,” </w:t>
      </w:r>
      <w:r w:rsidR="000B3957">
        <w:rPr>
          <w:rFonts w:ascii="Dark Courier" w:hAnsi="Dark Courier"/>
          <w:b w:val="0"/>
        </w:rPr>
        <w:lastRenderedPageBreak/>
        <w:t xml:space="preserve">concluding that </w:t>
      </w:r>
      <w:r w:rsidRPr="00C16B2E">
        <w:rPr>
          <w:rFonts w:ascii="Dark Courier" w:hAnsi="Dark Courier"/>
          <w:b w:val="0"/>
        </w:rPr>
        <w:t>“[p]</w:t>
      </w:r>
      <w:proofErr w:type="spellStart"/>
      <w:r w:rsidRPr="00C16B2E">
        <w:rPr>
          <w:rFonts w:ascii="Dark Courier" w:hAnsi="Dark Courier"/>
          <w:b w:val="0"/>
        </w:rPr>
        <w:t>robable</w:t>
      </w:r>
      <w:proofErr w:type="spellEnd"/>
      <w:r w:rsidRPr="00C16B2E">
        <w:rPr>
          <w:rFonts w:ascii="Dark Courier" w:hAnsi="Dark Courier"/>
          <w:b w:val="0"/>
        </w:rPr>
        <w:t xml:space="preserve"> cause to believe that a man has committed a crime on the street does not necessarily give rise to probable cause to search his home.” </w:t>
      </w:r>
      <w:proofErr w:type="gramStart"/>
      <w:r w:rsidR="000B3957">
        <w:rPr>
          <w:rFonts w:ascii="Dark Courier" w:hAnsi="Dark Courier"/>
          <w:b w:val="0"/>
          <w:u w:val="single"/>
        </w:rPr>
        <w:t>Id</w:t>
      </w:r>
      <w:r w:rsidR="00AD0443" w:rsidRPr="00AD0443">
        <w:rPr>
          <w:rFonts w:ascii="Dark Courier" w:hAnsi="Dark Courier"/>
          <w:b w:val="0"/>
        </w:rPr>
        <w:t>.</w:t>
      </w:r>
      <w:r w:rsidR="000B3957">
        <w:rPr>
          <w:rFonts w:ascii="Dark Courier" w:hAnsi="Dark Courier"/>
          <w:b w:val="0"/>
        </w:rPr>
        <w:t xml:space="preserve"> at 1261</w:t>
      </w:r>
      <w:r w:rsidRPr="00C16B2E">
        <w:rPr>
          <w:rFonts w:ascii="Dark Courier" w:hAnsi="Dark Courier"/>
          <w:b w:val="0"/>
        </w:rPr>
        <w:t>.</w:t>
      </w:r>
      <w:proofErr w:type="gramEnd"/>
      <w:r>
        <w:rPr>
          <w:rFonts w:ascii="Dark Courier" w:hAnsi="Dark Courier"/>
          <w:b w:val="0"/>
        </w:rPr>
        <w:t xml:space="preserve">  </w:t>
      </w:r>
    </w:p>
    <w:p w:rsidR="00C70E7C" w:rsidRDefault="00C16B2E" w:rsidP="00C70E7C">
      <w:pPr>
        <w:pStyle w:val="BodyText"/>
        <w:spacing w:line="480" w:lineRule="auto"/>
        <w:jc w:val="both"/>
        <w:rPr>
          <w:rFonts w:ascii="Dark Courier" w:hAnsi="Dark Courier"/>
          <w:b w:val="0"/>
        </w:rPr>
      </w:pPr>
      <w:r w:rsidRPr="00C16B2E">
        <w:rPr>
          <w:rFonts w:ascii="Dark Courier" w:hAnsi="Dark Courier"/>
          <w:b w:val="0"/>
        </w:rPr>
        <w:tab/>
        <w:t xml:space="preserve">Here, </w:t>
      </w:r>
      <w:r w:rsidR="0059742A">
        <w:rPr>
          <w:rFonts w:ascii="Dark Courier" w:hAnsi="Dark Courier"/>
          <w:b w:val="0"/>
        </w:rPr>
        <w:t>the a</w:t>
      </w:r>
      <w:r w:rsidR="00DC5FCB">
        <w:rPr>
          <w:rFonts w:ascii="Dark Courier" w:hAnsi="Dark Courier"/>
          <w:b w:val="0"/>
        </w:rPr>
        <w:t xml:space="preserve">ffidavit articulated the following: </w:t>
      </w:r>
      <w:r w:rsidR="00DC5FCB" w:rsidRPr="00DC5FCB">
        <w:rPr>
          <w:rFonts w:ascii="Dark Courier" w:hAnsi="Dark Courier"/>
          <w:b w:val="0"/>
        </w:rPr>
        <w:t xml:space="preserve">Matthew </w:t>
      </w:r>
      <w:proofErr w:type="spellStart"/>
      <w:r w:rsidR="00DC5FCB" w:rsidRPr="00DC5FCB">
        <w:rPr>
          <w:rFonts w:ascii="Dark Courier" w:hAnsi="Dark Courier"/>
          <w:b w:val="0"/>
        </w:rPr>
        <w:t>Sipler</w:t>
      </w:r>
      <w:proofErr w:type="spellEnd"/>
      <w:r w:rsidR="00DC5FCB" w:rsidRPr="00DC5FCB">
        <w:rPr>
          <w:rFonts w:ascii="Dark Courier" w:hAnsi="Dark Courier"/>
          <w:b w:val="0"/>
        </w:rPr>
        <w:t xml:space="preserve"> lived at</w:t>
      </w:r>
      <w:r w:rsidR="0059742A">
        <w:rPr>
          <w:rFonts w:ascii="Dark Courier" w:hAnsi="Dark Courier"/>
          <w:b w:val="0"/>
        </w:rPr>
        <w:t xml:space="preserve"> 327 </w:t>
      </w:r>
      <w:proofErr w:type="spellStart"/>
      <w:r w:rsidR="0059742A">
        <w:rPr>
          <w:rFonts w:ascii="Dark Courier" w:hAnsi="Dark Courier"/>
          <w:b w:val="0"/>
        </w:rPr>
        <w:t>Yeakle</w:t>
      </w:r>
      <w:proofErr w:type="spellEnd"/>
      <w:r w:rsidR="0059742A">
        <w:rPr>
          <w:rFonts w:ascii="Dark Courier" w:hAnsi="Dark Courier"/>
          <w:b w:val="0"/>
        </w:rPr>
        <w:t xml:space="preserve"> Street in Weatherly;</w:t>
      </w:r>
      <w:r w:rsidR="00DC5FCB" w:rsidRPr="00DC5FCB">
        <w:rPr>
          <w:rFonts w:ascii="Dark Courier" w:hAnsi="Dark Courier"/>
          <w:b w:val="0"/>
        </w:rPr>
        <w:t xml:space="preserve">  </w:t>
      </w:r>
      <w:r w:rsidR="00DC5FCB">
        <w:rPr>
          <w:rFonts w:ascii="Dark Courier" w:hAnsi="Dark Courier"/>
          <w:b w:val="0"/>
        </w:rPr>
        <w:t xml:space="preserve">James </w:t>
      </w:r>
      <w:proofErr w:type="spellStart"/>
      <w:r w:rsidR="00DC5FCB" w:rsidRPr="00DC5FCB">
        <w:rPr>
          <w:rFonts w:ascii="Dark Courier" w:hAnsi="Dark Courier"/>
          <w:b w:val="0"/>
        </w:rPr>
        <w:t>Delbo</w:t>
      </w:r>
      <w:proofErr w:type="spellEnd"/>
      <w:r w:rsidR="00DC5FCB" w:rsidRPr="00DC5FCB">
        <w:rPr>
          <w:rFonts w:ascii="Dark Courier" w:hAnsi="Dark Courier"/>
          <w:b w:val="0"/>
        </w:rPr>
        <w:t xml:space="preserve"> </w:t>
      </w:r>
      <w:r w:rsidR="00DC5FCB">
        <w:rPr>
          <w:rFonts w:ascii="Dark Courier" w:hAnsi="Dark Courier"/>
          <w:b w:val="0"/>
        </w:rPr>
        <w:t xml:space="preserve">had </w:t>
      </w:r>
      <w:r w:rsidR="00DC5FCB" w:rsidRPr="00DC5FCB">
        <w:rPr>
          <w:rFonts w:ascii="Dark Courier" w:hAnsi="Dark Courier"/>
          <w:b w:val="0"/>
        </w:rPr>
        <w:t>lived at that address</w:t>
      </w:r>
      <w:r w:rsidR="00C70E7C">
        <w:rPr>
          <w:rFonts w:ascii="Dark Courier" w:hAnsi="Dark Courier"/>
          <w:b w:val="0"/>
        </w:rPr>
        <w:t xml:space="preserve">, and Defendant had frequently been a guest there but had </w:t>
      </w:r>
      <w:r w:rsidR="0059742A">
        <w:rPr>
          <w:rFonts w:ascii="Dark Courier" w:hAnsi="Dark Courier"/>
          <w:b w:val="0"/>
        </w:rPr>
        <w:t>feuded with the other residents;</w:t>
      </w:r>
      <w:r w:rsidR="00C70E7C">
        <w:rPr>
          <w:rFonts w:ascii="Dark Courier" w:hAnsi="Dark Courier"/>
          <w:b w:val="0"/>
        </w:rPr>
        <w:t xml:space="preserve">  </w:t>
      </w:r>
      <w:proofErr w:type="spellStart"/>
      <w:r w:rsidR="00DC5FCB">
        <w:rPr>
          <w:rFonts w:ascii="Dark Courier" w:hAnsi="Dark Courier"/>
          <w:b w:val="0"/>
        </w:rPr>
        <w:t>Delbo</w:t>
      </w:r>
      <w:proofErr w:type="spellEnd"/>
      <w:r w:rsidR="00DC5FCB">
        <w:rPr>
          <w:rFonts w:ascii="Dark Courier" w:hAnsi="Dark Courier"/>
          <w:b w:val="0"/>
        </w:rPr>
        <w:t xml:space="preserve"> </w:t>
      </w:r>
      <w:r w:rsidR="00005DD0">
        <w:rPr>
          <w:rFonts w:ascii="Dark Courier" w:hAnsi="Dark Courier"/>
          <w:b w:val="0"/>
        </w:rPr>
        <w:t>had been</w:t>
      </w:r>
      <w:r w:rsidR="00DC5FCB" w:rsidRPr="00DC5FCB">
        <w:rPr>
          <w:rFonts w:ascii="Dark Courier" w:hAnsi="Dark Courier"/>
          <w:b w:val="0"/>
        </w:rPr>
        <w:t xml:space="preserve"> charged with attempting to force his way in</w:t>
      </w:r>
      <w:r w:rsidR="00DC5FCB">
        <w:rPr>
          <w:rFonts w:ascii="Dark Courier" w:hAnsi="Dark Courier"/>
          <w:b w:val="0"/>
        </w:rPr>
        <w:t>to the</w:t>
      </w:r>
      <w:r w:rsidR="00DC5FCB" w:rsidRPr="00DC5FCB">
        <w:rPr>
          <w:rFonts w:ascii="Dark Courier" w:hAnsi="Dark Courier"/>
          <w:b w:val="0"/>
        </w:rPr>
        <w:t xml:space="preserve"> r</w:t>
      </w:r>
      <w:r w:rsidR="00DC5FCB">
        <w:rPr>
          <w:rFonts w:ascii="Dark Courier" w:hAnsi="Dark Courier"/>
          <w:b w:val="0"/>
        </w:rPr>
        <w:t xml:space="preserve">esidence after </w:t>
      </w:r>
      <w:proofErr w:type="spellStart"/>
      <w:r w:rsidR="00DC5FCB" w:rsidRPr="00DC5FCB">
        <w:rPr>
          <w:rFonts w:ascii="Dark Courier" w:hAnsi="Dark Courier"/>
          <w:b w:val="0"/>
        </w:rPr>
        <w:t>Sipler</w:t>
      </w:r>
      <w:proofErr w:type="spellEnd"/>
      <w:r w:rsidR="00DC5FCB">
        <w:rPr>
          <w:rFonts w:ascii="Dark Courier" w:hAnsi="Dark Courier"/>
          <w:b w:val="0"/>
        </w:rPr>
        <w:t xml:space="preserve"> evicted him</w:t>
      </w:r>
      <w:r w:rsidR="00DC5FCB" w:rsidRPr="00DC5FCB">
        <w:rPr>
          <w:rFonts w:ascii="Dark Courier" w:hAnsi="Dark Courier"/>
          <w:b w:val="0"/>
        </w:rPr>
        <w:t xml:space="preserve"> following a d</w:t>
      </w:r>
      <w:r w:rsidR="0059742A">
        <w:rPr>
          <w:rFonts w:ascii="Dark Courier" w:hAnsi="Dark Courier"/>
          <w:b w:val="0"/>
        </w:rPr>
        <w:t>ispute over drugs and money;</w:t>
      </w:r>
      <w:r w:rsidR="00C70E7C">
        <w:rPr>
          <w:rFonts w:ascii="Dark Courier" w:hAnsi="Dark Courier"/>
          <w:b w:val="0"/>
        </w:rPr>
        <w:t xml:space="preserve"> </w:t>
      </w:r>
      <w:r w:rsidR="0059742A">
        <w:rPr>
          <w:rFonts w:ascii="Dark Courier" w:hAnsi="Dark Courier"/>
          <w:b w:val="0"/>
        </w:rPr>
        <w:t xml:space="preserve"> o</w:t>
      </w:r>
      <w:r w:rsidR="00DC5FCB">
        <w:rPr>
          <w:rFonts w:ascii="Dark Courier" w:hAnsi="Dark Courier"/>
          <w:b w:val="0"/>
        </w:rPr>
        <w:t>n that occasion h</w:t>
      </w:r>
      <w:r w:rsidR="00DC5FCB" w:rsidRPr="00DC5FCB">
        <w:rPr>
          <w:rFonts w:ascii="Dark Courier" w:hAnsi="Dark Courier"/>
          <w:b w:val="0"/>
        </w:rPr>
        <w:t>e was found</w:t>
      </w:r>
      <w:r w:rsidR="00DC5FCB">
        <w:rPr>
          <w:rFonts w:ascii="Dark Courier" w:hAnsi="Dark Courier"/>
          <w:b w:val="0"/>
        </w:rPr>
        <w:t xml:space="preserve"> on the porch at 327 </w:t>
      </w:r>
      <w:proofErr w:type="spellStart"/>
      <w:r w:rsidR="00DC5FCB">
        <w:rPr>
          <w:rFonts w:ascii="Dark Courier" w:hAnsi="Dark Courier"/>
          <w:b w:val="0"/>
        </w:rPr>
        <w:t>Yeakle</w:t>
      </w:r>
      <w:proofErr w:type="spellEnd"/>
      <w:r w:rsidR="00DC5FCB">
        <w:rPr>
          <w:rFonts w:ascii="Dark Courier" w:hAnsi="Dark Courier"/>
          <w:b w:val="0"/>
        </w:rPr>
        <w:t xml:space="preserve"> Street </w:t>
      </w:r>
      <w:r w:rsidR="0059742A">
        <w:rPr>
          <w:rFonts w:ascii="Dark Courier" w:hAnsi="Dark Courier"/>
          <w:b w:val="0"/>
        </w:rPr>
        <w:t>with a .22 caliber rifle;</w:t>
      </w:r>
      <w:r w:rsidR="00DC5FCB" w:rsidRPr="00DC5FCB">
        <w:rPr>
          <w:rFonts w:ascii="Dark Courier" w:hAnsi="Dark Courier"/>
          <w:b w:val="0"/>
        </w:rPr>
        <w:t xml:space="preserve"> </w:t>
      </w:r>
      <w:proofErr w:type="spellStart"/>
      <w:r w:rsidR="00C70E7C">
        <w:rPr>
          <w:rFonts w:ascii="Dark Courier" w:hAnsi="Dark Courier"/>
          <w:b w:val="0"/>
        </w:rPr>
        <w:t>Delbo</w:t>
      </w:r>
      <w:proofErr w:type="spellEnd"/>
      <w:r w:rsidR="00C70E7C">
        <w:rPr>
          <w:rFonts w:ascii="Dark Courier" w:hAnsi="Dark Courier"/>
          <w:b w:val="0"/>
        </w:rPr>
        <w:t xml:space="preserve"> was known to the police to have made threats to </w:t>
      </w:r>
      <w:proofErr w:type="spellStart"/>
      <w:r w:rsidR="00C70E7C">
        <w:rPr>
          <w:rFonts w:ascii="Dark Courier" w:hAnsi="Dark Courier"/>
          <w:b w:val="0"/>
        </w:rPr>
        <w:t>Sip</w:t>
      </w:r>
      <w:r w:rsidR="0059742A">
        <w:rPr>
          <w:rFonts w:ascii="Dark Courier" w:hAnsi="Dark Courier"/>
          <w:b w:val="0"/>
        </w:rPr>
        <w:t>ler</w:t>
      </w:r>
      <w:proofErr w:type="spellEnd"/>
      <w:r w:rsidR="0059742A">
        <w:rPr>
          <w:rFonts w:ascii="Dark Courier" w:hAnsi="Dark Courier"/>
          <w:b w:val="0"/>
        </w:rPr>
        <w:t xml:space="preserve"> about getting even with him;</w:t>
      </w:r>
      <w:r w:rsidR="00C70E7C">
        <w:rPr>
          <w:rFonts w:ascii="Dark Courier" w:hAnsi="Dark Courier"/>
          <w:b w:val="0"/>
        </w:rPr>
        <w:t xml:space="preserve"> and it was believed to be the practice of </w:t>
      </w:r>
      <w:proofErr w:type="spellStart"/>
      <w:r w:rsidR="00C70E7C">
        <w:rPr>
          <w:rFonts w:ascii="Dark Courier" w:hAnsi="Dark Courier"/>
          <w:b w:val="0"/>
        </w:rPr>
        <w:t>Delbo</w:t>
      </w:r>
      <w:proofErr w:type="spellEnd"/>
      <w:r w:rsidR="00C70E7C">
        <w:rPr>
          <w:rFonts w:ascii="Dark Courier" w:hAnsi="Dark Courier"/>
          <w:b w:val="0"/>
        </w:rPr>
        <w:t xml:space="preserve"> and Defendant to drive around firing guns out of their vehicles.</w:t>
      </w:r>
    </w:p>
    <w:p w:rsidR="00C70E7C" w:rsidRPr="00C70E7C" w:rsidRDefault="00C70E7C" w:rsidP="00C70E7C">
      <w:pPr>
        <w:pStyle w:val="BodyText"/>
        <w:spacing w:line="480" w:lineRule="auto"/>
        <w:ind w:firstLine="720"/>
        <w:jc w:val="both"/>
        <w:rPr>
          <w:rFonts w:ascii="Dark Courier" w:hAnsi="Dark Courier"/>
          <w:b w:val="0"/>
        </w:rPr>
      </w:pPr>
      <w:r w:rsidRPr="00C70E7C">
        <w:rPr>
          <w:rFonts w:ascii="Dark Courier" w:hAnsi="Dark Courier"/>
          <w:b w:val="0"/>
        </w:rPr>
        <w:t xml:space="preserve">The police were dispatched to 327 </w:t>
      </w:r>
      <w:proofErr w:type="spellStart"/>
      <w:r w:rsidRPr="00C70E7C">
        <w:rPr>
          <w:rFonts w:ascii="Dark Courier" w:hAnsi="Dark Courier"/>
          <w:b w:val="0"/>
        </w:rPr>
        <w:t>Yeakle</w:t>
      </w:r>
      <w:proofErr w:type="spellEnd"/>
      <w:r>
        <w:rPr>
          <w:rFonts w:ascii="Dark Courier" w:hAnsi="Dark Courier"/>
          <w:b w:val="0"/>
        </w:rPr>
        <w:t xml:space="preserve"> Street</w:t>
      </w:r>
      <w:r w:rsidRPr="00C70E7C">
        <w:rPr>
          <w:rFonts w:ascii="Dark Courier" w:hAnsi="Dark Courier"/>
          <w:b w:val="0"/>
        </w:rPr>
        <w:t xml:space="preserve"> on </w:t>
      </w:r>
      <w:r>
        <w:rPr>
          <w:rFonts w:ascii="Dark Courier" w:hAnsi="Dark Courier"/>
          <w:b w:val="0"/>
        </w:rPr>
        <w:t>February 13, 2011</w:t>
      </w:r>
      <w:r w:rsidRPr="00C70E7C">
        <w:rPr>
          <w:rFonts w:ascii="Dark Courier" w:hAnsi="Dark Courier"/>
          <w:b w:val="0"/>
        </w:rPr>
        <w:t xml:space="preserve"> for a report of shots fired at </w:t>
      </w:r>
      <w:r>
        <w:rPr>
          <w:rFonts w:ascii="Dark Courier" w:hAnsi="Dark Courier"/>
          <w:b w:val="0"/>
        </w:rPr>
        <w:t>that residence, and found that four</w:t>
      </w:r>
      <w:r w:rsidR="002448FD">
        <w:rPr>
          <w:rFonts w:ascii="Dark Courier" w:hAnsi="Dark Courier"/>
          <w:b w:val="0"/>
        </w:rPr>
        <w:t xml:space="preserve"> (4)</w:t>
      </w:r>
      <w:r>
        <w:rPr>
          <w:rFonts w:ascii="Dark Courier" w:hAnsi="Dark Courier"/>
          <w:b w:val="0"/>
        </w:rPr>
        <w:t xml:space="preserve"> of the nineteen</w:t>
      </w:r>
      <w:r w:rsidR="002448FD">
        <w:rPr>
          <w:rFonts w:ascii="Dark Courier" w:hAnsi="Dark Courier"/>
          <w:b w:val="0"/>
        </w:rPr>
        <w:t xml:space="preserve"> (19)</w:t>
      </w:r>
      <w:r>
        <w:rPr>
          <w:rFonts w:ascii="Dark Courier" w:hAnsi="Dark Courier"/>
          <w:b w:val="0"/>
        </w:rPr>
        <w:t xml:space="preserve"> </w:t>
      </w:r>
      <w:r w:rsidRPr="00C70E7C">
        <w:rPr>
          <w:rFonts w:ascii="Dark Courier" w:hAnsi="Dark Courier"/>
          <w:b w:val="0"/>
        </w:rPr>
        <w:t>s</w:t>
      </w:r>
      <w:r>
        <w:rPr>
          <w:rFonts w:ascii="Dark Courier" w:hAnsi="Dark Courier"/>
          <w:b w:val="0"/>
        </w:rPr>
        <w:t xml:space="preserve">hots fired had struck the house. Police retrieved shell casings </w:t>
      </w:r>
      <w:r w:rsidR="006826C1">
        <w:rPr>
          <w:rFonts w:ascii="Dark Courier" w:hAnsi="Dark Courier"/>
          <w:b w:val="0"/>
        </w:rPr>
        <w:t>and</w:t>
      </w:r>
      <w:r w:rsidRPr="00C70E7C">
        <w:rPr>
          <w:rFonts w:ascii="Dark Courier" w:hAnsi="Dark Courier"/>
          <w:b w:val="0"/>
        </w:rPr>
        <w:t xml:space="preserve"> determined </w:t>
      </w:r>
      <w:r w:rsidR="006826C1">
        <w:rPr>
          <w:rFonts w:ascii="Dark Courier" w:hAnsi="Dark Courier"/>
          <w:b w:val="0"/>
        </w:rPr>
        <w:t>that they were</w:t>
      </w:r>
      <w:r w:rsidRPr="00C70E7C">
        <w:rPr>
          <w:rFonts w:ascii="Dark Courier" w:hAnsi="Dark Courier"/>
          <w:b w:val="0"/>
        </w:rPr>
        <w:t xml:space="preserve"> from .9mm and .22 caliber bullets. In establishing the trajectory of the bullets, </w:t>
      </w:r>
      <w:r>
        <w:rPr>
          <w:rFonts w:ascii="Dark Courier" w:hAnsi="Dark Courier"/>
          <w:b w:val="0"/>
        </w:rPr>
        <w:t>police</w:t>
      </w:r>
      <w:r w:rsidRPr="00C70E7C">
        <w:rPr>
          <w:rFonts w:ascii="Dark Courier" w:hAnsi="Dark Courier"/>
          <w:b w:val="0"/>
        </w:rPr>
        <w:t xml:space="preserve"> determined that the shots were fired from an elevated position,</w:t>
      </w:r>
      <w:r>
        <w:rPr>
          <w:rFonts w:ascii="Dark Courier" w:hAnsi="Dark Courier"/>
          <w:b w:val="0"/>
        </w:rPr>
        <w:t xml:space="preserve"> as if the shooter were sitting </w:t>
      </w:r>
      <w:r w:rsidRPr="00C70E7C">
        <w:rPr>
          <w:rFonts w:ascii="Dark Courier" w:hAnsi="Dark Courier"/>
          <w:b w:val="0"/>
        </w:rPr>
        <w:t>propped up again</w:t>
      </w:r>
      <w:r>
        <w:rPr>
          <w:rFonts w:ascii="Dark Courier" w:hAnsi="Dark Courier"/>
          <w:b w:val="0"/>
        </w:rPr>
        <w:t>st the window of an automobile.</w:t>
      </w:r>
    </w:p>
    <w:p w:rsidR="00005DD0" w:rsidRDefault="00C70E7C" w:rsidP="00C70E7C">
      <w:pPr>
        <w:pStyle w:val="BodyText"/>
        <w:spacing w:line="480" w:lineRule="auto"/>
        <w:jc w:val="both"/>
        <w:rPr>
          <w:rFonts w:ascii="Dark Courier" w:hAnsi="Dark Courier"/>
          <w:b w:val="0"/>
        </w:rPr>
      </w:pPr>
      <w:r w:rsidRPr="00C70E7C">
        <w:rPr>
          <w:rFonts w:ascii="Dark Courier" w:hAnsi="Dark Courier"/>
          <w:b w:val="0"/>
        </w:rPr>
        <w:tab/>
        <w:t xml:space="preserve">On February 17, 2011, the police interviewed </w:t>
      </w:r>
      <w:proofErr w:type="spellStart"/>
      <w:r w:rsidRPr="00C70E7C">
        <w:rPr>
          <w:rFonts w:ascii="Dark Courier" w:hAnsi="Dark Courier"/>
          <w:b w:val="0"/>
        </w:rPr>
        <w:t>Sipler</w:t>
      </w:r>
      <w:proofErr w:type="spellEnd"/>
      <w:r w:rsidRPr="00C70E7C">
        <w:rPr>
          <w:rFonts w:ascii="Dark Courier" w:hAnsi="Dark Courier"/>
          <w:b w:val="0"/>
        </w:rPr>
        <w:t xml:space="preserve">, who stated that he suspected that </w:t>
      </w:r>
      <w:proofErr w:type="spellStart"/>
      <w:r w:rsidRPr="00C70E7C">
        <w:rPr>
          <w:rFonts w:ascii="Dark Courier" w:hAnsi="Dark Courier"/>
          <w:b w:val="0"/>
        </w:rPr>
        <w:t>Delbo</w:t>
      </w:r>
      <w:proofErr w:type="spellEnd"/>
      <w:r w:rsidRPr="00C70E7C">
        <w:rPr>
          <w:rFonts w:ascii="Dark Courier" w:hAnsi="Dark Courier"/>
          <w:b w:val="0"/>
        </w:rPr>
        <w:t xml:space="preserve"> and Harris committed the </w:t>
      </w:r>
      <w:r w:rsidRPr="00C70E7C">
        <w:rPr>
          <w:rFonts w:ascii="Dark Courier" w:hAnsi="Dark Courier"/>
          <w:b w:val="0"/>
        </w:rPr>
        <w:lastRenderedPageBreak/>
        <w:t xml:space="preserve">shooting. Within </w:t>
      </w:r>
      <w:r w:rsidR="002448FD">
        <w:rPr>
          <w:rFonts w:ascii="Dark Courier" w:hAnsi="Dark Courier"/>
          <w:b w:val="0"/>
        </w:rPr>
        <w:t>twelve (</w:t>
      </w:r>
      <w:r w:rsidRPr="00C70E7C">
        <w:rPr>
          <w:rFonts w:ascii="Dark Courier" w:hAnsi="Dark Courier"/>
          <w:b w:val="0"/>
        </w:rPr>
        <w:t>12</w:t>
      </w:r>
      <w:r w:rsidR="002448FD">
        <w:rPr>
          <w:rFonts w:ascii="Dark Courier" w:hAnsi="Dark Courier"/>
          <w:b w:val="0"/>
        </w:rPr>
        <w:t>)</w:t>
      </w:r>
      <w:r w:rsidRPr="00C70E7C">
        <w:rPr>
          <w:rFonts w:ascii="Dark Courier" w:hAnsi="Dark Courier"/>
          <w:b w:val="0"/>
        </w:rPr>
        <w:t xml:space="preserve"> hours of the shooting, Defendant posted “I make it rain, bitch” on his Facebook page.  On February 22, 2011, Defendant’s vehicle was stopped by the P</w:t>
      </w:r>
      <w:r w:rsidR="00AD0443">
        <w:rPr>
          <w:rFonts w:ascii="Dark Courier" w:hAnsi="Dark Courier"/>
          <w:b w:val="0"/>
        </w:rPr>
        <w:t>ennsylvania</w:t>
      </w:r>
      <w:r w:rsidRPr="00C70E7C">
        <w:rPr>
          <w:rFonts w:ascii="Dark Courier" w:hAnsi="Dark Courier"/>
          <w:b w:val="0"/>
        </w:rPr>
        <w:t xml:space="preserve"> State Police in Lebanon County for a motor v</w:t>
      </w:r>
      <w:r w:rsidR="00005DD0">
        <w:rPr>
          <w:rFonts w:ascii="Dark Courier" w:hAnsi="Dark Courier"/>
          <w:b w:val="0"/>
        </w:rPr>
        <w:t>ehicle violation. He was</w:t>
      </w:r>
      <w:r w:rsidRPr="00C70E7C">
        <w:rPr>
          <w:rFonts w:ascii="Dark Courier" w:hAnsi="Dark Courier"/>
          <w:b w:val="0"/>
        </w:rPr>
        <w:t xml:space="preserve"> in possession of a .9mm pistol</w:t>
      </w:r>
      <w:r w:rsidR="00005DD0">
        <w:rPr>
          <w:rFonts w:ascii="Dark Courier" w:hAnsi="Dark Courier"/>
          <w:b w:val="0"/>
        </w:rPr>
        <w:t xml:space="preserve"> and two .22 caliber handguns, and spent shell casings were</w:t>
      </w:r>
      <w:r w:rsidRPr="00C70E7C">
        <w:rPr>
          <w:rFonts w:ascii="Dark Courier" w:hAnsi="Dark Courier"/>
          <w:b w:val="0"/>
        </w:rPr>
        <w:t xml:space="preserve"> scattered </w:t>
      </w:r>
      <w:r w:rsidR="00005DD0">
        <w:rPr>
          <w:rFonts w:ascii="Dark Courier" w:hAnsi="Dark Courier"/>
          <w:b w:val="0"/>
        </w:rPr>
        <w:t>in</w:t>
      </w:r>
      <w:r w:rsidRPr="00C70E7C">
        <w:rPr>
          <w:rFonts w:ascii="Dark Courier" w:hAnsi="Dark Courier"/>
          <w:b w:val="0"/>
        </w:rPr>
        <w:t xml:space="preserve"> the interior of the vehicle. None of the items were seized because the </w:t>
      </w:r>
      <w:r w:rsidR="002448FD">
        <w:rPr>
          <w:rFonts w:ascii="Dark Courier" w:hAnsi="Dark Courier"/>
          <w:b w:val="0"/>
        </w:rPr>
        <w:t xml:space="preserve">state </w:t>
      </w:r>
      <w:r w:rsidRPr="00C70E7C">
        <w:rPr>
          <w:rFonts w:ascii="Dark Courier" w:hAnsi="Dark Courier"/>
          <w:b w:val="0"/>
        </w:rPr>
        <w:t xml:space="preserve">trooper believed that Defendant had a permit to carry </w:t>
      </w:r>
      <w:r w:rsidR="00AD0443">
        <w:rPr>
          <w:rFonts w:ascii="Dark Courier" w:hAnsi="Dark Courier"/>
          <w:b w:val="0"/>
        </w:rPr>
        <w:t>issued by the Luzerne County Sheriff’s Department</w:t>
      </w:r>
      <w:r w:rsidRPr="00C70E7C">
        <w:rPr>
          <w:rFonts w:ascii="Dark Courier" w:hAnsi="Dark Courier"/>
          <w:b w:val="0"/>
        </w:rPr>
        <w:t xml:space="preserve">, and he did not suspect any criminal activity at that time. Upon further investigation, it was discovered that </w:t>
      </w:r>
      <w:r w:rsidR="00AD0443">
        <w:rPr>
          <w:rFonts w:ascii="Dark Courier" w:hAnsi="Dark Courier"/>
          <w:b w:val="0"/>
        </w:rPr>
        <w:t xml:space="preserve">the </w:t>
      </w:r>
      <w:r w:rsidRPr="00C70E7C">
        <w:rPr>
          <w:rFonts w:ascii="Dark Courier" w:hAnsi="Dark Courier"/>
          <w:b w:val="0"/>
        </w:rPr>
        <w:t>Luzerne County</w:t>
      </w:r>
      <w:r w:rsidR="00AD0443">
        <w:rPr>
          <w:rFonts w:ascii="Dark Courier" w:hAnsi="Dark Courier"/>
          <w:b w:val="0"/>
        </w:rPr>
        <w:t xml:space="preserve"> Sheriff’s Department</w:t>
      </w:r>
      <w:r w:rsidRPr="00C70E7C">
        <w:rPr>
          <w:rFonts w:ascii="Dark Courier" w:hAnsi="Dark Courier"/>
          <w:b w:val="0"/>
        </w:rPr>
        <w:t xml:space="preserve"> had revoked Defendant’s permit. </w:t>
      </w:r>
    </w:p>
    <w:p w:rsidR="00BB7607" w:rsidRDefault="00D144E1" w:rsidP="00005DD0">
      <w:pPr>
        <w:pStyle w:val="BodyText"/>
        <w:spacing w:line="480" w:lineRule="auto"/>
        <w:ind w:firstLine="720"/>
        <w:jc w:val="both"/>
        <w:rPr>
          <w:rFonts w:ascii="Dark Courier" w:hAnsi="Dark Courier"/>
          <w:b w:val="0"/>
        </w:rPr>
      </w:pPr>
      <w:r>
        <w:rPr>
          <w:rFonts w:ascii="Dark Courier" w:hAnsi="Dark Courier"/>
          <w:b w:val="0"/>
        </w:rPr>
        <w:t xml:space="preserve">The </w:t>
      </w:r>
      <w:r w:rsidR="0059742A">
        <w:rPr>
          <w:rFonts w:ascii="Dark Courier" w:hAnsi="Dark Courier"/>
          <w:b w:val="0"/>
        </w:rPr>
        <w:t>a</w:t>
      </w:r>
      <w:r>
        <w:rPr>
          <w:rFonts w:ascii="Dark Courier" w:hAnsi="Dark Courier"/>
          <w:b w:val="0"/>
        </w:rPr>
        <w:t xml:space="preserve">ffidavit </w:t>
      </w:r>
      <w:r w:rsidR="00005DD0">
        <w:rPr>
          <w:rFonts w:ascii="Dark Courier" w:hAnsi="Dark Courier"/>
          <w:b w:val="0"/>
        </w:rPr>
        <w:t>indicated that t</w:t>
      </w:r>
      <w:r w:rsidR="00005DD0" w:rsidRPr="00C70E7C">
        <w:rPr>
          <w:rFonts w:ascii="Dark Courier" w:hAnsi="Dark Courier"/>
          <w:b w:val="0"/>
        </w:rPr>
        <w:t>hree</w:t>
      </w:r>
      <w:r w:rsidR="00AD0443">
        <w:rPr>
          <w:rFonts w:ascii="Dark Courier" w:hAnsi="Dark Courier"/>
          <w:b w:val="0"/>
        </w:rPr>
        <w:t xml:space="preserve"> (3)</w:t>
      </w:r>
      <w:r w:rsidR="00005DD0" w:rsidRPr="00C70E7C">
        <w:rPr>
          <w:rFonts w:ascii="Dark Courier" w:hAnsi="Dark Courier"/>
          <w:b w:val="0"/>
        </w:rPr>
        <w:t xml:space="preserve"> </w:t>
      </w:r>
      <w:r w:rsidR="002448FD">
        <w:rPr>
          <w:rFonts w:ascii="Dark Courier" w:hAnsi="Dark Courier"/>
          <w:b w:val="0"/>
        </w:rPr>
        <w:t xml:space="preserve">motor </w:t>
      </w:r>
      <w:r w:rsidR="00005DD0" w:rsidRPr="00C70E7C">
        <w:rPr>
          <w:rFonts w:ascii="Dark Courier" w:hAnsi="Dark Courier"/>
          <w:b w:val="0"/>
        </w:rPr>
        <w:t>vehicles registe</w:t>
      </w:r>
      <w:r w:rsidR="00005DD0">
        <w:rPr>
          <w:rFonts w:ascii="Dark Courier" w:hAnsi="Dark Courier"/>
          <w:b w:val="0"/>
        </w:rPr>
        <w:t xml:space="preserve">red to Defendant and </w:t>
      </w:r>
      <w:proofErr w:type="spellStart"/>
      <w:r w:rsidR="00005DD0">
        <w:rPr>
          <w:rFonts w:ascii="Dark Courier" w:hAnsi="Dark Courier"/>
          <w:b w:val="0"/>
        </w:rPr>
        <w:t>Delbo</w:t>
      </w:r>
      <w:proofErr w:type="spellEnd"/>
      <w:r w:rsidR="00005DD0">
        <w:rPr>
          <w:rFonts w:ascii="Dark Courier" w:hAnsi="Dark Courier"/>
          <w:b w:val="0"/>
        </w:rPr>
        <w:t xml:space="preserve"> were</w:t>
      </w:r>
      <w:r w:rsidR="00005DD0" w:rsidRPr="00C70E7C">
        <w:rPr>
          <w:rFonts w:ascii="Dark Courier" w:hAnsi="Dark Courier"/>
          <w:b w:val="0"/>
        </w:rPr>
        <w:t xml:space="preserve"> located at Defendant’s McAdoo residence.</w:t>
      </w:r>
      <w:r w:rsidR="00005DD0">
        <w:rPr>
          <w:rFonts w:ascii="Dark Courier" w:hAnsi="Dark Courier"/>
          <w:b w:val="0"/>
        </w:rPr>
        <w:t xml:space="preserve">  Among the items to be searched for w</w:t>
      </w:r>
      <w:r>
        <w:rPr>
          <w:rFonts w:ascii="Dark Courier" w:hAnsi="Dark Courier"/>
          <w:b w:val="0"/>
        </w:rPr>
        <w:t>ere any and all firearms,</w:t>
      </w:r>
      <w:r w:rsidR="00005DD0">
        <w:rPr>
          <w:rFonts w:ascii="Dark Courier" w:hAnsi="Dark Courier"/>
          <w:b w:val="0"/>
        </w:rPr>
        <w:t xml:space="preserve"> bullets, shells, shell cas</w:t>
      </w:r>
      <w:r>
        <w:rPr>
          <w:rFonts w:ascii="Dark Courier" w:hAnsi="Dark Courier"/>
          <w:b w:val="0"/>
        </w:rPr>
        <w:t xml:space="preserve">ings and slugs, and </w:t>
      </w:r>
      <w:r w:rsidR="00005DD0">
        <w:rPr>
          <w:rFonts w:ascii="Dark Courier" w:hAnsi="Dark Courier"/>
          <w:b w:val="0"/>
        </w:rPr>
        <w:t xml:space="preserve">documents pertaining to firearms.  </w:t>
      </w:r>
      <w:r w:rsidR="00C16B2E" w:rsidRPr="00C16B2E">
        <w:rPr>
          <w:rFonts w:ascii="Dark Courier" w:hAnsi="Dark Courier"/>
          <w:b w:val="0"/>
        </w:rPr>
        <w:t xml:space="preserve">The </w:t>
      </w:r>
      <w:r w:rsidR="0059742A">
        <w:rPr>
          <w:rFonts w:ascii="Dark Courier" w:hAnsi="Dark Courier"/>
          <w:b w:val="0"/>
        </w:rPr>
        <w:t>a</w:t>
      </w:r>
      <w:r w:rsidR="00C16B2E" w:rsidRPr="00C16B2E">
        <w:rPr>
          <w:rFonts w:ascii="Dark Courier" w:hAnsi="Dark Courier"/>
          <w:b w:val="0"/>
        </w:rPr>
        <w:t xml:space="preserve">ffidavit was sworn before the </w:t>
      </w:r>
      <w:r w:rsidR="00AD0443">
        <w:rPr>
          <w:rFonts w:ascii="Dark Courier" w:hAnsi="Dark Courier"/>
          <w:b w:val="0"/>
        </w:rPr>
        <w:t>magisterial district judge</w:t>
      </w:r>
      <w:r w:rsidR="00C16B2E" w:rsidRPr="00C16B2E">
        <w:rPr>
          <w:rFonts w:ascii="Dark Courier" w:hAnsi="Dark Courier"/>
          <w:b w:val="0"/>
        </w:rPr>
        <w:t xml:space="preserve"> on March 2, 2011, and the search of </w:t>
      </w:r>
      <w:r w:rsidR="00BB7607">
        <w:rPr>
          <w:rFonts w:ascii="Dark Courier" w:hAnsi="Dark Courier"/>
          <w:b w:val="0"/>
        </w:rPr>
        <w:t xml:space="preserve">the </w:t>
      </w:r>
      <w:r w:rsidR="00C16B2E" w:rsidRPr="00C16B2E">
        <w:rPr>
          <w:rFonts w:ascii="Dark Courier" w:hAnsi="Dark Courier"/>
          <w:b w:val="0"/>
        </w:rPr>
        <w:t xml:space="preserve">Defendant’s residence was executed that same evening. The police seized </w:t>
      </w:r>
      <w:r w:rsidR="000D4265">
        <w:rPr>
          <w:rFonts w:ascii="Dark Courier" w:hAnsi="Dark Courier"/>
          <w:b w:val="0"/>
        </w:rPr>
        <w:t>multiple</w:t>
      </w:r>
      <w:r w:rsidR="00C16B2E" w:rsidRPr="00C16B2E">
        <w:rPr>
          <w:rFonts w:ascii="Dark Courier" w:hAnsi="Dark Courier"/>
          <w:b w:val="0"/>
        </w:rPr>
        <w:t xml:space="preserve"> items that day from the residence, </w:t>
      </w:r>
      <w:proofErr w:type="gramStart"/>
      <w:r w:rsidR="00C16B2E" w:rsidRPr="00C16B2E">
        <w:rPr>
          <w:rFonts w:ascii="Dark Courier" w:hAnsi="Dark Courier"/>
          <w:b w:val="0"/>
        </w:rPr>
        <w:t>including</w:t>
      </w:r>
      <w:proofErr w:type="gramEnd"/>
      <w:r w:rsidR="00C16B2E" w:rsidRPr="00C16B2E">
        <w:rPr>
          <w:rFonts w:ascii="Dark Courier" w:hAnsi="Dark Courier"/>
          <w:b w:val="0"/>
        </w:rPr>
        <w:t xml:space="preserve"> guns and ammunition. </w:t>
      </w:r>
    </w:p>
    <w:p w:rsidR="00273F20" w:rsidRDefault="00CF610C" w:rsidP="00CF610C">
      <w:pPr>
        <w:pStyle w:val="BodyText"/>
        <w:spacing w:line="480" w:lineRule="auto"/>
        <w:ind w:firstLine="720"/>
        <w:jc w:val="both"/>
        <w:rPr>
          <w:rFonts w:ascii="Dark Courier" w:hAnsi="Dark Courier"/>
          <w:b w:val="0"/>
        </w:rPr>
      </w:pPr>
      <w:r>
        <w:rPr>
          <w:rFonts w:ascii="Dark Courier" w:hAnsi="Dark Courier"/>
          <w:b w:val="0"/>
        </w:rPr>
        <w:t xml:space="preserve">Defendant argues that nothing in the </w:t>
      </w:r>
      <w:r w:rsidR="00AD0443">
        <w:rPr>
          <w:rFonts w:ascii="Dark Courier" w:hAnsi="Dark Courier"/>
          <w:b w:val="0"/>
        </w:rPr>
        <w:t>a</w:t>
      </w:r>
      <w:r>
        <w:rPr>
          <w:rFonts w:ascii="Dark Courier" w:hAnsi="Dark Courier"/>
          <w:b w:val="0"/>
        </w:rPr>
        <w:t xml:space="preserve">ffidavit indicates what gave the affiant probable cause to believe weapons and ammunition would be found at the residence, and that various </w:t>
      </w:r>
      <w:r>
        <w:rPr>
          <w:rFonts w:ascii="Dark Courier" w:hAnsi="Dark Courier"/>
          <w:b w:val="0"/>
        </w:rPr>
        <w:lastRenderedPageBreak/>
        <w:t xml:space="preserve">statements made in the </w:t>
      </w:r>
      <w:r w:rsidR="00AD0443">
        <w:rPr>
          <w:rFonts w:ascii="Dark Courier" w:hAnsi="Dark Courier"/>
          <w:b w:val="0"/>
        </w:rPr>
        <w:t>a</w:t>
      </w:r>
      <w:r>
        <w:rPr>
          <w:rFonts w:ascii="Dark Courier" w:hAnsi="Dark Courier"/>
          <w:b w:val="0"/>
        </w:rPr>
        <w:t xml:space="preserve">ffidavit are insufficiently supported by facts.  </w:t>
      </w:r>
      <w:r w:rsidR="00D144E1">
        <w:rPr>
          <w:rFonts w:ascii="Dark Courier" w:hAnsi="Dark Courier"/>
          <w:b w:val="0"/>
        </w:rPr>
        <w:t>Considering the totality of the circumstances,</w:t>
      </w:r>
      <w:r>
        <w:rPr>
          <w:rFonts w:ascii="Dark Courier" w:hAnsi="Dark Courier"/>
          <w:b w:val="0"/>
        </w:rPr>
        <w:t xml:space="preserve"> however, we find that</w:t>
      </w:r>
      <w:r w:rsidR="00D144E1">
        <w:rPr>
          <w:rFonts w:ascii="Dark Courier" w:hAnsi="Dark Courier"/>
          <w:b w:val="0"/>
        </w:rPr>
        <w:t xml:space="preserve"> the facts </w:t>
      </w:r>
      <w:r>
        <w:rPr>
          <w:rFonts w:ascii="Dark Courier" w:hAnsi="Dark Courier"/>
          <w:b w:val="0"/>
        </w:rPr>
        <w:t xml:space="preserve">contained in the </w:t>
      </w:r>
      <w:r w:rsidR="00AD0443">
        <w:rPr>
          <w:rFonts w:ascii="Dark Courier" w:hAnsi="Dark Courier"/>
          <w:b w:val="0"/>
        </w:rPr>
        <w:t>a</w:t>
      </w:r>
      <w:r>
        <w:rPr>
          <w:rFonts w:ascii="Dark Courier" w:hAnsi="Dark Courier"/>
          <w:b w:val="0"/>
        </w:rPr>
        <w:t xml:space="preserve">ffidavit supported </w:t>
      </w:r>
      <w:r w:rsidR="00D144E1">
        <w:rPr>
          <w:rFonts w:ascii="Dark Courier" w:hAnsi="Dark Courier"/>
          <w:b w:val="0"/>
        </w:rPr>
        <w:t xml:space="preserve">a finding of probable cause.  The </w:t>
      </w:r>
      <w:r w:rsidR="0059742A">
        <w:rPr>
          <w:rFonts w:ascii="Dark Courier" w:hAnsi="Dark Courier"/>
          <w:b w:val="0"/>
        </w:rPr>
        <w:t>magisterial district judge</w:t>
      </w:r>
      <w:r w:rsidR="00D144E1">
        <w:rPr>
          <w:rFonts w:ascii="Dark Courier" w:hAnsi="Dark Courier"/>
          <w:b w:val="0"/>
        </w:rPr>
        <w:t xml:space="preserve"> could conclude, and did conclude, that because of the history of conflicts </w:t>
      </w:r>
      <w:r w:rsidR="009451CF">
        <w:rPr>
          <w:rFonts w:ascii="Dark Courier" w:hAnsi="Dark Courier"/>
          <w:b w:val="0"/>
        </w:rPr>
        <w:t xml:space="preserve">involving </w:t>
      </w:r>
      <w:proofErr w:type="spellStart"/>
      <w:r w:rsidR="00273F20">
        <w:rPr>
          <w:rFonts w:ascii="Dark Courier" w:hAnsi="Dark Courier"/>
          <w:b w:val="0"/>
        </w:rPr>
        <w:t>Sipler</w:t>
      </w:r>
      <w:proofErr w:type="spellEnd"/>
      <w:r w:rsidR="009451CF">
        <w:rPr>
          <w:rFonts w:ascii="Dark Courier" w:hAnsi="Dark Courier"/>
          <w:b w:val="0"/>
        </w:rPr>
        <w:t xml:space="preserve"> and </w:t>
      </w:r>
      <w:proofErr w:type="spellStart"/>
      <w:r w:rsidR="009451CF">
        <w:rPr>
          <w:rFonts w:ascii="Dark Courier" w:hAnsi="Dark Courier"/>
          <w:b w:val="0"/>
        </w:rPr>
        <w:t>Delbo</w:t>
      </w:r>
      <w:proofErr w:type="spellEnd"/>
      <w:r w:rsidR="009451CF">
        <w:rPr>
          <w:rFonts w:ascii="Dark Courier" w:hAnsi="Dark Courier"/>
          <w:b w:val="0"/>
        </w:rPr>
        <w:t xml:space="preserve"> and/or Defendant</w:t>
      </w:r>
      <w:r w:rsidR="00273F20">
        <w:rPr>
          <w:rFonts w:ascii="Dark Courier" w:hAnsi="Dark Courier"/>
          <w:b w:val="0"/>
        </w:rPr>
        <w:t xml:space="preserve"> at the 327 </w:t>
      </w:r>
      <w:proofErr w:type="spellStart"/>
      <w:r w:rsidR="00273F20">
        <w:rPr>
          <w:rFonts w:ascii="Dark Courier" w:hAnsi="Dark Courier"/>
          <w:b w:val="0"/>
        </w:rPr>
        <w:t>Yeakle</w:t>
      </w:r>
      <w:proofErr w:type="spellEnd"/>
      <w:r w:rsidR="00273F20">
        <w:rPr>
          <w:rFonts w:ascii="Dark Courier" w:hAnsi="Dark Courier"/>
          <w:b w:val="0"/>
        </w:rPr>
        <w:t xml:space="preserve"> Street residence, </w:t>
      </w:r>
      <w:r>
        <w:rPr>
          <w:rFonts w:ascii="Dark Courier" w:hAnsi="Dark Courier"/>
          <w:b w:val="0"/>
        </w:rPr>
        <w:t xml:space="preserve">the presence of </w:t>
      </w:r>
      <w:r w:rsidR="001A1273">
        <w:rPr>
          <w:rFonts w:ascii="Dark Courier" w:hAnsi="Dark Courier"/>
          <w:b w:val="0"/>
        </w:rPr>
        <w:t xml:space="preserve">a </w:t>
      </w:r>
      <w:r>
        <w:rPr>
          <w:rFonts w:ascii="Dark Courier" w:hAnsi="Dark Courier"/>
          <w:b w:val="0"/>
        </w:rPr>
        <w:t>.22 caliber firearm in one such dispute</w:t>
      </w:r>
      <w:r w:rsidR="00273F20">
        <w:rPr>
          <w:rFonts w:ascii="Dark Courier" w:hAnsi="Dark Courier"/>
          <w:b w:val="0"/>
        </w:rPr>
        <w:t>, and the discovery in Defendant’s vehicle of firearms and shell casings of the same type</w:t>
      </w:r>
      <w:r w:rsidR="001A1273">
        <w:rPr>
          <w:rFonts w:ascii="Dark Courier" w:hAnsi="Dark Courier"/>
          <w:b w:val="0"/>
        </w:rPr>
        <w:t>s</w:t>
      </w:r>
      <w:r w:rsidR="00273F20">
        <w:rPr>
          <w:rFonts w:ascii="Dark Courier" w:hAnsi="Dark Courier"/>
          <w:b w:val="0"/>
        </w:rPr>
        <w:t xml:space="preserve"> used in the shooting at 327 </w:t>
      </w:r>
      <w:proofErr w:type="spellStart"/>
      <w:r w:rsidR="00273F20">
        <w:rPr>
          <w:rFonts w:ascii="Dark Courier" w:hAnsi="Dark Courier"/>
          <w:b w:val="0"/>
        </w:rPr>
        <w:t>Yeakle</w:t>
      </w:r>
      <w:proofErr w:type="spellEnd"/>
      <w:r w:rsidR="00273F20">
        <w:rPr>
          <w:rFonts w:ascii="Dark Courier" w:hAnsi="Dark Courier"/>
          <w:b w:val="0"/>
        </w:rPr>
        <w:t xml:space="preserve"> Street, there was a fair probability that evidence of criminal activity related to the shooting would be found at the named address.</w:t>
      </w:r>
    </w:p>
    <w:p w:rsidR="00CF610C" w:rsidRDefault="00CF610C" w:rsidP="00CF610C">
      <w:pPr>
        <w:pStyle w:val="BodyText"/>
        <w:spacing w:line="480" w:lineRule="auto"/>
        <w:ind w:firstLine="720"/>
        <w:jc w:val="both"/>
        <w:rPr>
          <w:rFonts w:ascii="Dark Courier" w:hAnsi="Dark Courier"/>
          <w:b w:val="0"/>
        </w:rPr>
      </w:pPr>
      <w:r>
        <w:rPr>
          <w:rFonts w:ascii="Dark Courier" w:hAnsi="Dark Courier"/>
          <w:b w:val="0"/>
        </w:rPr>
        <w:t xml:space="preserve">In accordance with the standards set forth in </w:t>
      </w:r>
      <w:r>
        <w:rPr>
          <w:rFonts w:ascii="Dark Courier" w:hAnsi="Dark Courier"/>
          <w:b w:val="0"/>
          <w:u w:val="single"/>
        </w:rPr>
        <w:t>Sharp</w:t>
      </w:r>
      <w:r>
        <w:rPr>
          <w:rFonts w:ascii="Dark Courier" w:hAnsi="Dark Courier"/>
          <w:b w:val="0"/>
        </w:rPr>
        <w:t xml:space="preserve"> and </w:t>
      </w:r>
      <w:r>
        <w:rPr>
          <w:rFonts w:ascii="Dark Courier" w:hAnsi="Dark Courier"/>
          <w:b w:val="0"/>
          <w:u w:val="single"/>
        </w:rPr>
        <w:t>Heyward</w:t>
      </w:r>
      <w:r>
        <w:rPr>
          <w:rFonts w:ascii="Dark Courier" w:hAnsi="Dark Courier"/>
          <w:b w:val="0"/>
        </w:rPr>
        <w:t xml:space="preserve">, </w:t>
      </w:r>
      <w:r w:rsidR="001A1273">
        <w:rPr>
          <w:rFonts w:ascii="Dark Courier" w:hAnsi="Dark Courier"/>
          <w:b w:val="0"/>
        </w:rPr>
        <w:t xml:space="preserve">the </w:t>
      </w:r>
      <w:r w:rsidR="00AD0443">
        <w:rPr>
          <w:rFonts w:ascii="Dark Courier" w:hAnsi="Dark Courier"/>
          <w:b w:val="0"/>
        </w:rPr>
        <w:t>a</w:t>
      </w:r>
      <w:r>
        <w:rPr>
          <w:rFonts w:ascii="Dark Courier" w:hAnsi="Dark Courier"/>
          <w:b w:val="0"/>
        </w:rPr>
        <w:t xml:space="preserve">ffidavit need only have contained sufficient information to justify the </w:t>
      </w:r>
      <w:r w:rsidR="00AD0443">
        <w:rPr>
          <w:rFonts w:ascii="Dark Courier" w:hAnsi="Dark Courier"/>
          <w:b w:val="0"/>
        </w:rPr>
        <w:t>magisterial district judge’s</w:t>
      </w:r>
      <w:r>
        <w:rPr>
          <w:rFonts w:ascii="Dark Courier" w:hAnsi="Dark Courier"/>
          <w:b w:val="0"/>
        </w:rPr>
        <w:t xml:space="preserve"> conclusion that probable cause existed.</w:t>
      </w:r>
      <w:r w:rsidR="0059742A">
        <w:rPr>
          <w:rFonts w:ascii="Dark Courier" w:hAnsi="Dark Courier"/>
          <w:b w:val="0"/>
        </w:rPr>
        <w:t xml:space="preserve">  </w:t>
      </w:r>
      <w:r w:rsidRPr="00AD0443">
        <w:rPr>
          <w:rFonts w:ascii="Dark Courier" w:hAnsi="Dark Courier"/>
          <w:b w:val="0"/>
        </w:rPr>
        <w:t>The</w:t>
      </w:r>
      <w:r>
        <w:rPr>
          <w:rFonts w:ascii="Dark Courier" w:hAnsi="Dark Courier"/>
          <w:b w:val="0"/>
        </w:rPr>
        <w:t xml:space="preserve"> affidavit identified police investigations as the source of many of </w:t>
      </w:r>
      <w:r w:rsidR="00926401">
        <w:rPr>
          <w:rFonts w:ascii="Dark Courier" w:hAnsi="Dark Courier"/>
          <w:b w:val="0"/>
        </w:rPr>
        <w:t>the supporting</w:t>
      </w:r>
      <w:r>
        <w:rPr>
          <w:rFonts w:ascii="Dark Courier" w:hAnsi="Dark Courier"/>
          <w:b w:val="0"/>
        </w:rPr>
        <w:t xml:space="preserve"> statements</w:t>
      </w:r>
      <w:r w:rsidR="001A1273">
        <w:rPr>
          <w:rFonts w:ascii="Dark Courier" w:hAnsi="Dark Courier"/>
          <w:b w:val="0"/>
        </w:rPr>
        <w:t xml:space="preserve"> and provided specific dates to identify many of the events it described</w:t>
      </w:r>
      <w:r>
        <w:rPr>
          <w:rFonts w:ascii="Dark Courier" w:hAnsi="Dark Courier"/>
          <w:b w:val="0"/>
        </w:rPr>
        <w:t>, including those relati</w:t>
      </w:r>
      <w:r w:rsidR="001A1273">
        <w:rPr>
          <w:rFonts w:ascii="Dark Courier" w:hAnsi="Dark Courier"/>
          <w:b w:val="0"/>
        </w:rPr>
        <w:t xml:space="preserve">ng to prior disputes at 327 </w:t>
      </w:r>
      <w:proofErr w:type="spellStart"/>
      <w:r w:rsidR="001A1273">
        <w:rPr>
          <w:rFonts w:ascii="Dark Courier" w:hAnsi="Dark Courier"/>
          <w:b w:val="0"/>
        </w:rPr>
        <w:t>Yeakle</w:t>
      </w:r>
      <w:proofErr w:type="spellEnd"/>
      <w:r w:rsidR="001A1273">
        <w:rPr>
          <w:rFonts w:ascii="Dark Courier" w:hAnsi="Dark Courier"/>
          <w:b w:val="0"/>
        </w:rPr>
        <w:t xml:space="preserve"> Street and the traffic stop on February 22, 2011.  The </w:t>
      </w:r>
      <w:r w:rsidR="00926401">
        <w:rPr>
          <w:rFonts w:ascii="Dark Courier" w:hAnsi="Dark Courier"/>
          <w:b w:val="0"/>
        </w:rPr>
        <w:t>magisterial district judge</w:t>
      </w:r>
      <w:r w:rsidR="001A1273">
        <w:rPr>
          <w:rFonts w:ascii="Dark Courier" w:hAnsi="Dark Courier"/>
          <w:b w:val="0"/>
        </w:rPr>
        <w:t xml:space="preserve"> was entitled to credit the veracity and reliability of those investigations as sufficient to form the basis for a</w:t>
      </w:r>
      <w:r w:rsidR="00AD0443">
        <w:rPr>
          <w:rFonts w:ascii="Dark Courier" w:hAnsi="Dark Courier"/>
          <w:b w:val="0"/>
        </w:rPr>
        <w:t xml:space="preserve"> probable cause determination.</w:t>
      </w:r>
    </w:p>
    <w:p w:rsidR="00926401" w:rsidRDefault="002448FD" w:rsidP="00CF610C">
      <w:pPr>
        <w:pStyle w:val="BodyText"/>
        <w:spacing w:line="480" w:lineRule="auto"/>
        <w:ind w:firstLine="720"/>
        <w:jc w:val="both"/>
        <w:rPr>
          <w:rFonts w:ascii="Dark Courier" w:hAnsi="Dark Courier"/>
          <w:b w:val="0"/>
        </w:rPr>
      </w:pPr>
      <w:r>
        <w:rPr>
          <w:rFonts w:ascii="Dark Courier" w:hAnsi="Dark Courier"/>
          <w:b w:val="0"/>
        </w:rPr>
        <w:lastRenderedPageBreak/>
        <w:t xml:space="preserve"> </w:t>
      </w:r>
      <w:r w:rsidR="0059742A">
        <w:rPr>
          <w:rFonts w:ascii="Dark Courier" w:hAnsi="Dark Courier"/>
          <w:b w:val="0"/>
        </w:rPr>
        <w:t xml:space="preserve">“In dealing with probable cause, we deal with probabilities; these are the factual and practical considerations of everyday life in which reasonable men act.”  </w:t>
      </w:r>
      <w:proofErr w:type="gramStart"/>
      <w:r w:rsidR="0059742A">
        <w:rPr>
          <w:rFonts w:ascii="Dark Courier" w:hAnsi="Dark Courier"/>
          <w:b w:val="0"/>
          <w:u w:val="single"/>
        </w:rPr>
        <w:t xml:space="preserve">Commonwealth v. </w:t>
      </w:r>
      <w:r w:rsidR="0059742A" w:rsidRPr="00AD0443">
        <w:rPr>
          <w:rFonts w:ascii="Dark Courier" w:hAnsi="Dark Courier"/>
          <w:b w:val="0"/>
          <w:u w:val="single"/>
        </w:rPr>
        <w:t>Jefferson</w:t>
      </w:r>
      <w:r w:rsidR="0059742A">
        <w:rPr>
          <w:rFonts w:ascii="Dark Courier" w:hAnsi="Dark Courier"/>
          <w:b w:val="0"/>
        </w:rPr>
        <w:t>, 412 A.2d 882, 885 (Pa. Super. 1979).</w:t>
      </w:r>
      <w:proofErr w:type="gramEnd"/>
      <w:r w:rsidR="0059742A">
        <w:rPr>
          <w:rFonts w:ascii="Dark Courier" w:hAnsi="Dark Courier"/>
          <w:b w:val="0"/>
        </w:rPr>
        <w:t xml:space="preserve">  </w:t>
      </w:r>
      <w:r w:rsidR="00926401">
        <w:rPr>
          <w:rFonts w:ascii="Dark Courier" w:hAnsi="Dark Courier"/>
          <w:b w:val="0"/>
        </w:rPr>
        <w:t>It is the well-settled law of this Commonwealth that the affidavit upon which a search warrant is sought must be read with common sense, and that technical requirements of elaborate specificity are inappropriate.  Furthermore, the resolution of marginal cases should be largely determined in favor of the warrant’s validity.</w:t>
      </w:r>
    </w:p>
    <w:p w:rsidR="001A1273" w:rsidRPr="009451CF" w:rsidRDefault="00974788" w:rsidP="00CF610C">
      <w:pPr>
        <w:pStyle w:val="BodyText"/>
        <w:spacing w:line="480" w:lineRule="auto"/>
        <w:ind w:firstLine="720"/>
        <w:jc w:val="both"/>
      </w:pPr>
      <w:r>
        <w:rPr>
          <w:rFonts w:ascii="Dark Courier" w:hAnsi="Dark Courier"/>
          <w:b w:val="0"/>
        </w:rPr>
        <w:t>In accordance with the foregoing</w:t>
      </w:r>
      <w:r w:rsidR="006E36C0">
        <w:rPr>
          <w:rFonts w:ascii="Dark Courier" w:hAnsi="Dark Courier"/>
          <w:b w:val="0"/>
        </w:rPr>
        <w:t xml:space="preserve">, </w:t>
      </w:r>
      <w:r w:rsidR="00926401">
        <w:rPr>
          <w:rFonts w:ascii="Dark Courier" w:hAnsi="Dark Courier"/>
          <w:b w:val="0"/>
        </w:rPr>
        <w:t xml:space="preserve">we find that </w:t>
      </w:r>
      <w:r w:rsidR="006E36C0">
        <w:rPr>
          <w:rFonts w:ascii="Dark Courier" w:hAnsi="Dark Courier"/>
          <w:b w:val="0"/>
        </w:rPr>
        <w:t xml:space="preserve">there was probable cause to support the search warrant and Defendant’s </w:t>
      </w:r>
      <w:r w:rsidR="0059742A">
        <w:rPr>
          <w:rFonts w:ascii="Dark Courier" w:hAnsi="Dark Courier"/>
          <w:b w:val="0"/>
        </w:rPr>
        <w:t xml:space="preserve">Suppression </w:t>
      </w:r>
      <w:r w:rsidR="006E36C0">
        <w:rPr>
          <w:rFonts w:ascii="Dark Courier" w:hAnsi="Dark Courier"/>
          <w:b w:val="0"/>
        </w:rPr>
        <w:t>Motion is denied in this regard.</w:t>
      </w:r>
    </w:p>
    <w:p w:rsidR="00200495" w:rsidRDefault="00200495" w:rsidP="00200495">
      <w:pPr>
        <w:pStyle w:val="BodyText"/>
        <w:jc w:val="center"/>
        <w:rPr>
          <w:rFonts w:ascii="Dark Courier" w:hAnsi="Dark Courier"/>
        </w:rPr>
      </w:pPr>
      <w:r>
        <w:rPr>
          <w:rFonts w:ascii="Dark Courier" w:hAnsi="Dark Courier"/>
        </w:rPr>
        <w:t xml:space="preserve">B. </w:t>
      </w:r>
      <w:r w:rsidRPr="00200495">
        <w:rPr>
          <w:rFonts w:ascii="Dark Courier" w:hAnsi="Dark Courier"/>
        </w:rPr>
        <w:t>Motion to Suppress Search of Home</w:t>
      </w:r>
      <w:r>
        <w:rPr>
          <w:rFonts w:ascii="Dark Courier" w:hAnsi="Dark Courier"/>
        </w:rPr>
        <w:t xml:space="preserve">: </w:t>
      </w:r>
      <w:r w:rsidRPr="00200495">
        <w:rPr>
          <w:rFonts w:ascii="Dark Courier" w:hAnsi="Dark Courier"/>
        </w:rPr>
        <w:t>No Inventory</w:t>
      </w:r>
      <w:r>
        <w:rPr>
          <w:rFonts w:ascii="Dark Courier" w:hAnsi="Dark Courier"/>
        </w:rPr>
        <w:t xml:space="preserve">, </w:t>
      </w:r>
    </w:p>
    <w:p w:rsidR="00200495" w:rsidRDefault="00200495" w:rsidP="00200495">
      <w:pPr>
        <w:pStyle w:val="BodyText"/>
        <w:jc w:val="center"/>
        <w:rPr>
          <w:rFonts w:ascii="Dark Courier" w:hAnsi="Dark Courier"/>
        </w:rPr>
      </w:pPr>
      <w:r>
        <w:rPr>
          <w:rFonts w:ascii="Dark Courier" w:hAnsi="Dark Courier"/>
        </w:rPr>
        <w:t>Receipt or Copy of</w:t>
      </w:r>
      <w:r w:rsidRPr="00200495">
        <w:rPr>
          <w:rFonts w:ascii="Dark Courier" w:hAnsi="Dark Courier"/>
        </w:rPr>
        <w:t xml:space="preserve"> Warrant </w:t>
      </w:r>
      <w:r>
        <w:rPr>
          <w:rFonts w:ascii="Dark Courier" w:hAnsi="Dark Courier"/>
        </w:rPr>
        <w:t>Provided to the Defendant</w:t>
      </w:r>
    </w:p>
    <w:p w:rsidR="00200495" w:rsidRPr="00200495" w:rsidRDefault="00200495" w:rsidP="00200495">
      <w:pPr>
        <w:pStyle w:val="BodyText"/>
        <w:jc w:val="center"/>
        <w:rPr>
          <w:rFonts w:ascii="Dark Courier" w:hAnsi="Dark Courier"/>
        </w:rPr>
      </w:pPr>
    </w:p>
    <w:p w:rsidR="002E0FB7" w:rsidRDefault="002E0FB7" w:rsidP="00200495">
      <w:pPr>
        <w:pStyle w:val="BodyText"/>
        <w:spacing w:line="480" w:lineRule="auto"/>
        <w:ind w:firstLine="720"/>
        <w:jc w:val="both"/>
        <w:rPr>
          <w:rFonts w:ascii="Dark Courier" w:hAnsi="Dark Courier"/>
          <w:b w:val="0"/>
        </w:rPr>
      </w:pPr>
      <w:r>
        <w:rPr>
          <w:rFonts w:ascii="Dark Courier" w:hAnsi="Dark Courier"/>
          <w:b w:val="0"/>
        </w:rPr>
        <w:t xml:space="preserve">In </w:t>
      </w:r>
      <w:r w:rsidR="00926401">
        <w:rPr>
          <w:rFonts w:ascii="Dark Courier" w:hAnsi="Dark Courier"/>
          <w:b w:val="0"/>
        </w:rPr>
        <w:t>t</w:t>
      </w:r>
      <w:r>
        <w:rPr>
          <w:rFonts w:ascii="Dark Courier" w:hAnsi="Dark Courier"/>
          <w:b w:val="0"/>
        </w:rPr>
        <w:t>his Motion</w:t>
      </w:r>
      <w:r w:rsidR="00926401">
        <w:rPr>
          <w:rFonts w:ascii="Dark Courier" w:hAnsi="Dark Courier"/>
          <w:b w:val="0"/>
        </w:rPr>
        <w:t xml:space="preserve"> to Suppress</w:t>
      </w:r>
      <w:r>
        <w:rPr>
          <w:rFonts w:ascii="Dark Courier" w:hAnsi="Dark Courier"/>
          <w:b w:val="0"/>
        </w:rPr>
        <w:t xml:space="preserve">, </w:t>
      </w:r>
      <w:r w:rsidRPr="002E0FB7">
        <w:rPr>
          <w:rFonts w:ascii="Dark Courier" w:hAnsi="Dark Courier"/>
          <w:b w:val="0"/>
        </w:rPr>
        <w:t>the Defendant avers that he did not receive a copy of the search warrant on March 2, 2011, did not receive a receipt for the property allegedly seized on March 2, 2011, and did not receive a return with inventory for the property allegedly seized on March 2, 2011.</w:t>
      </w:r>
      <w:r>
        <w:rPr>
          <w:rFonts w:ascii="Dark Courier" w:hAnsi="Dark Courier"/>
          <w:b w:val="0"/>
        </w:rPr>
        <w:t xml:space="preserve"> </w:t>
      </w:r>
      <w:r w:rsidR="00926401">
        <w:rPr>
          <w:rFonts w:ascii="Dark Courier" w:hAnsi="Dark Courier"/>
          <w:b w:val="0"/>
        </w:rPr>
        <w:t>Pennsylvania Rules of Criminal Procedure 208 and 209</w:t>
      </w:r>
      <w:r w:rsidR="00200495" w:rsidRPr="00200495">
        <w:rPr>
          <w:rFonts w:ascii="Dark Courier" w:hAnsi="Dark Courier"/>
          <w:b w:val="0"/>
        </w:rPr>
        <w:t xml:space="preserve"> require that the officer</w:t>
      </w:r>
      <w:r w:rsidR="00200495">
        <w:rPr>
          <w:rFonts w:ascii="Dark Courier" w:hAnsi="Dark Courier"/>
          <w:b w:val="0"/>
        </w:rPr>
        <w:t xml:space="preserve"> executing the search warrant</w:t>
      </w:r>
      <w:r w:rsidR="00200495" w:rsidRPr="00200495">
        <w:rPr>
          <w:rFonts w:ascii="Dark Courier" w:hAnsi="Dark Courier"/>
          <w:b w:val="0"/>
        </w:rPr>
        <w:t xml:space="preserve"> leave a copy of the warrant, </w:t>
      </w:r>
      <w:r w:rsidR="00200495">
        <w:rPr>
          <w:rFonts w:ascii="Dark Courier" w:hAnsi="Dark Courier"/>
          <w:b w:val="0"/>
        </w:rPr>
        <w:t xml:space="preserve">the </w:t>
      </w:r>
      <w:r w:rsidR="00200495" w:rsidRPr="00200495">
        <w:rPr>
          <w:rFonts w:ascii="Dark Courier" w:hAnsi="Dark Courier"/>
          <w:b w:val="0"/>
        </w:rPr>
        <w:t xml:space="preserve">supporting affidavit and </w:t>
      </w:r>
      <w:r w:rsidR="00200495">
        <w:rPr>
          <w:rFonts w:ascii="Dark Courier" w:hAnsi="Dark Courier"/>
          <w:b w:val="0"/>
        </w:rPr>
        <w:t xml:space="preserve">a </w:t>
      </w:r>
      <w:r w:rsidR="00200495" w:rsidRPr="00200495">
        <w:rPr>
          <w:rFonts w:ascii="Dark Courier" w:hAnsi="Dark Courier"/>
          <w:b w:val="0"/>
        </w:rPr>
        <w:t xml:space="preserve">receipt for any property taken with the person whose premises was searched. </w:t>
      </w:r>
      <w:r w:rsidR="00200495">
        <w:rPr>
          <w:rFonts w:ascii="Dark Courier" w:hAnsi="Dark Courier"/>
          <w:b w:val="0"/>
        </w:rPr>
        <w:t xml:space="preserve">At the hearing held on </w:t>
      </w:r>
      <w:r w:rsidR="00200495">
        <w:rPr>
          <w:rFonts w:ascii="Dark Courier" w:hAnsi="Dark Courier"/>
          <w:b w:val="0"/>
        </w:rPr>
        <w:lastRenderedPageBreak/>
        <w:t xml:space="preserve">January 6, 2012, </w:t>
      </w:r>
      <w:r w:rsidR="00200495" w:rsidRPr="00200495">
        <w:rPr>
          <w:rFonts w:ascii="Dark Courier" w:hAnsi="Dark Courier"/>
          <w:b w:val="0"/>
        </w:rPr>
        <w:t xml:space="preserve">Officer Bogart of the Weatherly Police Department testified that he executed the search warrant on </w:t>
      </w:r>
      <w:r w:rsidR="00200495">
        <w:rPr>
          <w:rFonts w:ascii="Dark Courier" w:hAnsi="Dark Courier"/>
          <w:b w:val="0"/>
        </w:rPr>
        <w:t xml:space="preserve">the </w:t>
      </w:r>
      <w:r w:rsidR="00200495" w:rsidRPr="00200495">
        <w:rPr>
          <w:rFonts w:ascii="Dark Courier" w:hAnsi="Dark Courier"/>
          <w:b w:val="0"/>
        </w:rPr>
        <w:t xml:space="preserve">Defendant’s residence on March 2, 2011. He also prepared the warrant for the residence, listing </w:t>
      </w:r>
      <w:r w:rsidR="00200495">
        <w:rPr>
          <w:rFonts w:ascii="Dark Courier" w:hAnsi="Dark Courier"/>
          <w:b w:val="0"/>
        </w:rPr>
        <w:t xml:space="preserve">the </w:t>
      </w:r>
      <w:r w:rsidR="00200495" w:rsidRPr="00200495">
        <w:rPr>
          <w:rFonts w:ascii="Dark Courier" w:hAnsi="Dark Courier"/>
          <w:b w:val="0"/>
        </w:rPr>
        <w:t xml:space="preserve">Defendant, Jennifer Harris and James Delbo as occupants. He testified that he provided </w:t>
      </w:r>
      <w:r w:rsidR="00200495">
        <w:rPr>
          <w:rFonts w:ascii="Dark Courier" w:hAnsi="Dark Courier"/>
          <w:b w:val="0"/>
        </w:rPr>
        <w:t xml:space="preserve">the </w:t>
      </w:r>
      <w:r w:rsidR="00200495" w:rsidRPr="00200495">
        <w:rPr>
          <w:rFonts w:ascii="Dark Courier" w:hAnsi="Dark Courier"/>
          <w:b w:val="0"/>
        </w:rPr>
        <w:t xml:space="preserve">Defendant with a copy of the warrant on the date of the search. He also prepared a receipt of the property seized from the residence, </w:t>
      </w:r>
      <w:r>
        <w:rPr>
          <w:rFonts w:ascii="Dark Courier" w:hAnsi="Dark Courier"/>
          <w:b w:val="0"/>
        </w:rPr>
        <w:t xml:space="preserve">and </w:t>
      </w:r>
      <w:r w:rsidR="00200495" w:rsidRPr="00200495">
        <w:rPr>
          <w:rFonts w:ascii="Dark Courier" w:hAnsi="Dark Courier"/>
          <w:b w:val="0"/>
        </w:rPr>
        <w:t xml:space="preserve">presented it to Defendant for his signature. </w:t>
      </w:r>
      <w:r>
        <w:rPr>
          <w:rFonts w:ascii="Dark Courier" w:hAnsi="Dark Courier"/>
          <w:b w:val="0"/>
        </w:rPr>
        <w:t>The</w:t>
      </w:r>
      <w:r w:rsidR="00200495" w:rsidRPr="00200495">
        <w:rPr>
          <w:rFonts w:ascii="Dark Courier" w:hAnsi="Dark Courier"/>
          <w:b w:val="0"/>
        </w:rPr>
        <w:t xml:space="preserve"> Defendant </w:t>
      </w:r>
      <w:r>
        <w:rPr>
          <w:rFonts w:ascii="Dark Courier" w:hAnsi="Dark Courier"/>
          <w:b w:val="0"/>
        </w:rPr>
        <w:t xml:space="preserve">then </w:t>
      </w:r>
      <w:r w:rsidR="00200495" w:rsidRPr="00200495">
        <w:rPr>
          <w:rFonts w:ascii="Dark Courier" w:hAnsi="Dark Courier"/>
          <w:b w:val="0"/>
        </w:rPr>
        <w:t xml:space="preserve">signed the document. </w:t>
      </w:r>
      <w:proofErr w:type="gramStart"/>
      <w:r w:rsidR="00200495" w:rsidRPr="00200495">
        <w:rPr>
          <w:rFonts w:ascii="Dark Courier" w:hAnsi="Dark Courier"/>
          <w:b w:val="0"/>
        </w:rPr>
        <w:t>(</w:t>
      </w:r>
      <w:r>
        <w:rPr>
          <w:rFonts w:ascii="Dark Courier" w:hAnsi="Dark Courier"/>
          <w:b w:val="0"/>
        </w:rPr>
        <w:t>See Commonwealth’s Exhibit 4</w:t>
      </w:r>
      <w:r w:rsidR="00200495" w:rsidRPr="00200495">
        <w:rPr>
          <w:rFonts w:ascii="Dark Courier" w:hAnsi="Dark Courier"/>
          <w:b w:val="0"/>
        </w:rPr>
        <w:t>).</w:t>
      </w:r>
      <w:proofErr w:type="gramEnd"/>
      <w:r w:rsidR="00200495" w:rsidRPr="00200495">
        <w:rPr>
          <w:rFonts w:ascii="Dark Courier" w:hAnsi="Dark Courier"/>
          <w:b w:val="0"/>
        </w:rPr>
        <w:t xml:space="preserve"> </w:t>
      </w:r>
    </w:p>
    <w:p w:rsidR="00200495" w:rsidRPr="00C16B2E" w:rsidRDefault="00200495" w:rsidP="00200495">
      <w:pPr>
        <w:pStyle w:val="BodyText"/>
        <w:spacing w:line="480" w:lineRule="auto"/>
        <w:ind w:firstLine="720"/>
        <w:jc w:val="both"/>
        <w:rPr>
          <w:rFonts w:ascii="Dark Courier" w:hAnsi="Dark Courier"/>
          <w:b w:val="0"/>
        </w:rPr>
      </w:pPr>
      <w:r w:rsidRPr="00200495">
        <w:rPr>
          <w:rFonts w:ascii="Dark Courier" w:hAnsi="Dark Courier"/>
          <w:b w:val="0"/>
        </w:rPr>
        <w:t xml:space="preserve">Officer Minnick of the McAdoo Police Department testified that he photocopied the receipt for Officer Bogart and provided the copies to him. </w:t>
      </w:r>
      <w:r w:rsidR="002E0FB7">
        <w:rPr>
          <w:rFonts w:ascii="Dark Courier" w:hAnsi="Dark Courier"/>
          <w:b w:val="0"/>
        </w:rPr>
        <w:t>We find the testimony of the aforementioned officers credible and conclude that the Defendant was presented with a copy of the inventory and receipt of the property seized from his residence, along with a copy of the search warrant</w:t>
      </w:r>
      <w:r w:rsidRPr="00200495">
        <w:rPr>
          <w:rFonts w:ascii="Dark Courier" w:hAnsi="Dark Courier"/>
          <w:b w:val="0"/>
        </w:rPr>
        <w:t>.</w:t>
      </w:r>
      <w:r w:rsidR="002E0FB7">
        <w:rPr>
          <w:rFonts w:ascii="Dark Courier" w:hAnsi="Dark Courier"/>
          <w:b w:val="0"/>
        </w:rPr>
        <w:t xml:space="preserve"> Accordingly, the Defendant’s Motion must be denied in this regard. </w:t>
      </w:r>
    </w:p>
    <w:p w:rsidR="00D1737B" w:rsidRDefault="00D1737B" w:rsidP="00D1737B">
      <w:pPr>
        <w:pStyle w:val="BodyText"/>
        <w:jc w:val="center"/>
        <w:rPr>
          <w:rFonts w:ascii="Dark Courier" w:hAnsi="Dark Courier"/>
        </w:rPr>
      </w:pPr>
      <w:r w:rsidRPr="00D1737B">
        <w:rPr>
          <w:rFonts w:ascii="Dark Courier" w:hAnsi="Dark Courier"/>
        </w:rPr>
        <w:t>C. Motion to Modify Bail</w:t>
      </w:r>
    </w:p>
    <w:p w:rsidR="00D1737B" w:rsidRPr="00D1737B" w:rsidRDefault="00D1737B" w:rsidP="00D1737B">
      <w:pPr>
        <w:pStyle w:val="BodyText"/>
        <w:jc w:val="center"/>
        <w:rPr>
          <w:rFonts w:ascii="Dark Courier" w:hAnsi="Dark Courier"/>
        </w:rPr>
      </w:pPr>
    </w:p>
    <w:p w:rsidR="00EB0CC4" w:rsidRDefault="00D1737B" w:rsidP="00D1737B">
      <w:pPr>
        <w:pStyle w:val="BodyText"/>
        <w:spacing w:line="480" w:lineRule="auto"/>
        <w:jc w:val="both"/>
        <w:rPr>
          <w:rFonts w:ascii="Dark Courier" w:hAnsi="Dark Courier"/>
          <w:b w:val="0"/>
        </w:rPr>
      </w:pPr>
      <w:r w:rsidRPr="00D1737B">
        <w:rPr>
          <w:rFonts w:ascii="Dark Courier" w:hAnsi="Dark Courier"/>
          <w:b w:val="0"/>
        </w:rPr>
        <w:tab/>
      </w:r>
      <w:r>
        <w:rPr>
          <w:rFonts w:ascii="Dark Courier" w:hAnsi="Dark Courier"/>
          <w:b w:val="0"/>
        </w:rPr>
        <w:t xml:space="preserve">In his </w:t>
      </w:r>
      <w:r w:rsidR="00926401">
        <w:rPr>
          <w:rFonts w:ascii="Dark Courier" w:hAnsi="Dark Courier"/>
          <w:b w:val="0"/>
        </w:rPr>
        <w:t>“</w:t>
      </w:r>
      <w:r>
        <w:rPr>
          <w:rFonts w:ascii="Dark Courier" w:hAnsi="Dark Courier"/>
          <w:b w:val="0"/>
        </w:rPr>
        <w:t>Motion</w:t>
      </w:r>
      <w:r w:rsidR="00926401">
        <w:rPr>
          <w:rFonts w:ascii="Dark Courier" w:hAnsi="Dark Courier"/>
          <w:b w:val="0"/>
        </w:rPr>
        <w:t xml:space="preserve"> to Modify Bail</w:t>
      </w:r>
      <w:r>
        <w:rPr>
          <w:rFonts w:ascii="Dark Courier" w:hAnsi="Dark Courier"/>
          <w:b w:val="0"/>
        </w:rPr>
        <w:t>,</w:t>
      </w:r>
      <w:r w:rsidR="00926401">
        <w:rPr>
          <w:rFonts w:ascii="Dark Courier" w:hAnsi="Dark Courier"/>
          <w:b w:val="0"/>
        </w:rPr>
        <w:t>”</w:t>
      </w:r>
      <w:r>
        <w:rPr>
          <w:rFonts w:ascii="Dark Courier" w:hAnsi="Dark Courier"/>
          <w:b w:val="0"/>
        </w:rPr>
        <w:t xml:space="preserve"> the </w:t>
      </w:r>
      <w:r w:rsidRPr="00D1737B">
        <w:rPr>
          <w:rFonts w:ascii="Dark Courier" w:hAnsi="Dark Courier"/>
          <w:b w:val="0"/>
        </w:rPr>
        <w:t xml:space="preserve">Defendant argues that the </w:t>
      </w:r>
      <w:r w:rsidR="00926401">
        <w:rPr>
          <w:rFonts w:ascii="Dark Courier" w:hAnsi="Dark Courier"/>
          <w:b w:val="0"/>
        </w:rPr>
        <w:t xml:space="preserve">eighty-five </w:t>
      </w:r>
      <w:r w:rsidR="0059742A">
        <w:rPr>
          <w:rFonts w:ascii="Dark Courier" w:hAnsi="Dark Courier"/>
          <w:b w:val="0"/>
        </w:rPr>
        <w:t>thousand dollar</w:t>
      </w:r>
      <w:r w:rsidR="00926401">
        <w:rPr>
          <w:rFonts w:ascii="Dark Courier" w:hAnsi="Dark Courier"/>
          <w:b w:val="0"/>
        </w:rPr>
        <w:t xml:space="preserve"> (</w:t>
      </w:r>
      <w:r w:rsidR="00926401" w:rsidRPr="00D1737B">
        <w:rPr>
          <w:rFonts w:ascii="Dark Courier" w:hAnsi="Dark Courier"/>
          <w:b w:val="0"/>
        </w:rPr>
        <w:t>$85,000</w:t>
      </w:r>
      <w:r w:rsidR="00926401">
        <w:rPr>
          <w:rFonts w:ascii="Dark Courier" w:hAnsi="Dark Courier"/>
          <w:b w:val="0"/>
        </w:rPr>
        <w:t>) straight cash bail</w:t>
      </w:r>
      <w:r w:rsidR="0059742A">
        <w:rPr>
          <w:rFonts w:ascii="Dark Courier" w:hAnsi="Dark Courier"/>
          <w:b w:val="0"/>
        </w:rPr>
        <w:t>,</w:t>
      </w:r>
      <w:r w:rsidR="00926401">
        <w:rPr>
          <w:rFonts w:ascii="Dark Courier" w:hAnsi="Dark Courier"/>
          <w:b w:val="0"/>
        </w:rPr>
        <w:t xml:space="preserve"> </w:t>
      </w:r>
      <w:r w:rsidRPr="00D1737B">
        <w:rPr>
          <w:rFonts w:ascii="Dark Courier" w:hAnsi="Dark Courier"/>
          <w:b w:val="0"/>
        </w:rPr>
        <w:t xml:space="preserve"> </w:t>
      </w:r>
      <w:r w:rsidR="00926401">
        <w:rPr>
          <w:rFonts w:ascii="Dark Courier" w:hAnsi="Dark Courier"/>
          <w:b w:val="0"/>
        </w:rPr>
        <w:t>which was posted</w:t>
      </w:r>
      <w:r w:rsidRPr="00D1737B">
        <w:rPr>
          <w:rFonts w:ascii="Dark Courier" w:hAnsi="Dark Courier"/>
          <w:b w:val="0"/>
        </w:rPr>
        <w:t xml:space="preserve"> by Defendant’s</w:t>
      </w:r>
      <w:r w:rsidR="00926401">
        <w:rPr>
          <w:rFonts w:ascii="Dark Courier" w:hAnsi="Dark Courier"/>
          <w:b w:val="0"/>
        </w:rPr>
        <w:t xml:space="preserve"> father and secured by his residence</w:t>
      </w:r>
      <w:r w:rsidR="0059742A">
        <w:rPr>
          <w:rFonts w:ascii="Dark Courier" w:hAnsi="Dark Courier"/>
          <w:b w:val="0"/>
        </w:rPr>
        <w:t>,</w:t>
      </w:r>
      <w:r w:rsidR="00926401">
        <w:rPr>
          <w:rFonts w:ascii="Dark Courier" w:hAnsi="Dark Courier"/>
          <w:b w:val="0"/>
        </w:rPr>
        <w:t xml:space="preserve"> </w:t>
      </w:r>
      <w:r w:rsidRPr="00D1737B">
        <w:rPr>
          <w:rFonts w:ascii="Dark Courier" w:hAnsi="Dark Courier"/>
          <w:b w:val="0"/>
        </w:rPr>
        <w:t xml:space="preserve">is sufficient to </w:t>
      </w:r>
      <w:r w:rsidR="00926401">
        <w:rPr>
          <w:rFonts w:ascii="Dark Courier" w:hAnsi="Dark Courier"/>
          <w:b w:val="0"/>
        </w:rPr>
        <w:t>guarantee</w:t>
      </w:r>
      <w:r w:rsidRPr="00D1737B">
        <w:rPr>
          <w:rFonts w:ascii="Dark Courier" w:hAnsi="Dark Courier"/>
          <w:b w:val="0"/>
        </w:rPr>
        <w:t xml:space="preserve"> his attendance at further court proceedings and trial, and that he has longstanding </w:t>
      </w:r>
      <w:r w:rsidRPr="00D1737B">
        <w:rPr>
          <w:rFonts w:ascii="Dark Courier" w:hAnsi="Dark Courier"/>
          <w:b w:val="0"/>
        </w:rPr>
        <w:lastRenderedPageBreak/>
        <w:t>personal and family ties to the area. He also argues that he has complied with all of the conditions of bail to date</w:t>
      </w:r>
      <w:r>
        <w:rPr>
          <w:rFonts w:ascii="Dark Courier" w:hAnsi="Dark Courier"/>
          <w:b w:val="0"/>
        </w:rPr>
        <w:t xml:space="preserve">. The Defendant requests that the requirement that he wear an ankle bracelet be removed because </w:t>
      </w:r>
      <w:r w:rsidR="00EB0CC4">
        <w:rPr>
          <w:rFonts w:ascii="Dark Courier" w:hAnsi="Dark Courier"/>
          <w:b w:val="0"/>
        </w:rPr>
        <w:t xml:space="preserve">he is not a flight risk, </w:t>
      </w:r>
      <w:r>
        <w:rPr>
          <w:rFonts w:ascii="Dark Courier" w:hAnsi="Dark Courier"/>
          <w:b w:val="0"/>
        </w:rPr>
        <w:t>the daily cost of the ankle bracelet is a financial burden, the</w:t>
      </w:r>
      <w:r w:rsidR="00EB0CC4">
        <w:rPr>
          <w:rFonts w:ascii="Dark Courier" w:hAnsi="Dark Courier"/>
          <w:b w:val="0"/>
        </w:rPr>
        <w:t xml:space="preserve"> bracelet hampers his ability to prepare a defense, and the bracelet amounts to a form of pre-trial punishment. </w:t>
      </w:r>
      <w:r w:rsidRPr="00D1737B">
        <w:rPr>
          <w:rFonts w:ascii="Dark Courier" w:hAnsi="Dark Courier"/>
          <w:b w:val="0"/>
        </w:rPr>
        <w:t>The Commonwealth argues that, because of the nature of the charges</w:t>
      </w:r>
      <w:r w:rsidR="00EB0CC4">
        <w:rPr>
          <w:rFonts w:ascii="Dark Courier" w:hAnsi="Dark Courier"/>
          <w:b w:val="0"/>
        </w:rPr>
        <w:t xml:space="preserve"> against the Defendant</w:t>
      </w:r>
      <w:r w:rsidRPr="00D1737B">
        <w:rPr>
          <w:rFonts w:ascii="Dark Courier" w:hAnsi="Dark Courier"/>
          <w:b w:val="0"/>
        </w:rPr>
        <w:t xml:space="preserve">, it is reasonable to require </w:t>
      </w:r>
      <w:r w:rsidR="00EB0CC4">
        <w:rPr>
          <w:rFonts w:ascii="Dark Courier" w:hAnsi="Dark Courier"/>
          <w:b w:val="0"/>
        </w:rPr>
        <w:t xml:space="preserve">the </w:t>
      </w:r>
      <w:r w:rsidRPr="00D1737B">
        <w:rPr>
          <w:rFonts w:ascii="Dark Courier" w:hAnsi="Dark Courier"/>
          <w:b w:val="0"/>
        </w:rPr>
        <w:t xml:space="preserve">Defendant to </w:t>
      </w:r>
      <w:r w:rsidR="00EB0CC4">
        <w:rPr>
          <w:rFonts w:ascii="Dark Courier" w:hAnsi="Dark Courier"/>
          <w:b w:val="0"/>
        </w:rPr>
        <w:t>wear</w:t>
      </w:r>
      <w:r w:rsidRPr="00D1737B">
        <w:rPr>
          <w:rFonts w:ascii="Dark Courier" w:hAnsi="Dark Courier"/>
          <w:b w:val="0"/>
        </w:rPr>
        <w:t xml:space="preserve"> an ankle bracelet </w:t>
      </w:r>
      <w:r w:rsidR="00EB0CC4">
        <w:rPr>
          <w:rFonts w:ascii="Dark Courier" w:hAnsi="Dark Courier"/>
          <w:b w:val="0"/>
        </w:rPr>
        <w:t>as a condition of his release</w:t>
      </w:r>
      <w:r w:rsidRPr="00D1737B">
        <w:rPr>
          <w:rFonts w:ascii="Dark Courier" w:hAnsi="Dark Courier"/>
          <w:b w:val="0"/>
        </w:rPr>
        <w:t>.</w:t>
      </w:r>
      <w:r w:rsidRPr="00D1737B">
        <w:rPr>
          <w:rFonts w:ascii="Dark Courier" w:hAnsi="Dark Courier"/>
          <w:b w:val="0"/>
        </w:rPr>
        <w:tab/>
      </w:r>
    </w:p>
    <w:p w:rsidR="00D1737B" w:rsidRPr="00D1737B" w:rsidRDefault="00D1737B" w:rsidP="00EB0CC4">
      <w:pPr>
        <w:pStyle w:val="BodyText"/>
        <w:spacing w:line="480" w:lineRule="auto"/>
        <w:ind w:firstLine="720"/>
        <w:jc w:val="both"/>
        <w:rPr>
          <w:rFonts w:ascii="Dark Courier" w:hAnsi="Dark Courier"/>
          <w:b w:val="0"/>
        </w:rPr>
      </w:pPr>
      <w:r w:rsidRPr="00D1737B">
        <w:rPr>
          <w:rFonts w:ascii="Dark Courier" w:hAnsi="Dark Courier"/>
          <w:b w:val="0"/>
        </w:rPr>
        <w:t xml:space="preserve">Pursuant to </w:t>
      </w:r>
      <w:r w:rsidR="00926401">
        <w:rPr>
          <w:rFonts w:ascii="Dark Courier" w:hAnsi="Dark Courier"/>
          <w:b w:val="0"/>
        </w:rPr>
        <w:t>Pennsylvania Rule of Criminal Procedure</w:t>
      </w:r>
      <w:r w:rsidRPr="00D1737B">
        <w:rPr>
          <w:rFonts w:ascii="Dark Courier" w:hAnsi="Dark Courier"/>
          <w:b w:val="0"/>
        </w:rPr>
        <w:t xml:space="preserve"> 523(a), the Court must consider the nature of the offense</w:t>
      </w:r>
      <w:r w:rsidR="00EB0CC4">
        <w:rPr>
          <w:rFonts w:ascii="Dark Courier" w:hAnsi="Dark Courier"/>
          <w:b w:val="0"/>
        </w:rPr>
        <w:t>s</w:t>
      </w:r>
      <w:r w:rsidRPr="00D1737B">
        <w:rPr>
          <w:rFonts w:ascii="Dark Courier" w:hAnsi="Dark Courier"/>
          <w:b w:val="0"/>
        </w:rPr>
        <w:t xml:space="preserve"> charged and any aggravating or mitigating factors that may bear on the likelihood of conviction and possible penalty, in addition to any other factor relevant to whether the defendant will appear as required and comply with the conditions of bail. </w:t>
      </w:r>
      <w:r w:rsidR="00EB0CC4">
        <w:rPr>
          <w:rFonts w:ascii="Dark Courier" w:hAnsi="Dark Courier"/>
          <w:b w:val="0"/>
        </w:rPr>
        <w:t>Given that the Defendant is facing multiple felony charges</w:t>
      </w:r>
      <w:r w:rsidRPr="00D1737B">
        <w:rPr>
          <w:rFonts w:ascii="Dark Courier" w:hAnsi="Dark Courier"/>
          <w:b w:val="0"/>
        </w:rPr>
        <w:t xml:space="preserve">, </w:t>
      </w:r>
      <w:r w:rsidR="00EB0CC4">
        <w:rPr>
          <w:rFonts w:ascii="Dark Courier" w:hAnsi="Dark Courier"/>
          <w:b w:val="0"/>
        </w:rPr>
        <w:t xml:space="preserve">the risk for flight is high, and </w:t>
      </w:r>
      <w:r w:rsidRPr="00D1737B">
        <w:rPr>
          <w:rFonts w:ascii="Dark Courier" w:hAnsi="Dark Courier"/>
          <w:b w:val="0"/>
        </w:rPr>
        <w:t xml:space="preserve">it </w:t>
      </w:r>
      <w:r w:rsidR="00EB0CC4">
        <w:rPr>
          <w:rFonts w:ascii="Dark Courier" w:hAnsi="Dark Courier"/>
          <w:b w:val="0"/>
        </w:rPr>
        <w:t>is therefore reasonable to require the Defendant to wear</w:t>
      </w:r>
      <w:r w:rsidRPr="00D1737B">
        <w:rPr>
          <w:rFonts w:ascii="Dark Courier" w:hAnsi="Dark Courier"/>
          <w:b w:val="0"/>
        </w:rPr>
        <w:t xml:space="preserve"> </w:t>
      </w:r>
      <w:r w:rsidR="00926401">
        <w:rPr>
          <w:rFonts w:ascii="Dark Courier" w:hAnsi="Dark Courier"/>
          <w:b w:val="0"/>
        </w:rPr>
        <w:t xml:space="preserve">an </w:t>
      </w:r>
      <w:r w:rsidR="0059742A">
        <w:rPr>
          <w:rFonts w:ascii="Dark Courier" w:hAnsi="Dark Courier"/>
          <w:b w:val="0"/>
        </w:rPr>
        <w:t xml:space="preserve">ankle bracelet </w:t>
      </w:r>
      <w:r w:rsidR="00EB0CC4">
        <w:rPr>
          <w:rFonts w:ascii="Dark Courier" w:hAnsi="Dark Courier"/>
          <w:b w:val="0"/>
        </w:rPr>
        <w:t>as a condition of his release. Thus, we will deny the Defendant’s Motion in this regard</w:t>
      </w:r>
      <w:r w:rsidRPr="00D1737B">
        <w:rPr>
          <w:rFonts w:ascii="Dark Courier" w:hAnsi="Dark Courier"/>
          <w:b w:val="0"/>
        </w:rPr>
        <w:t xml:space="preserve">. </w:t>
      </w:r>
    </w:p>
    <w:p w:rsidR="00EB0CC4" w:rsidRPr="00EB0CC4" w:rsidRDefault="00EB0CC4" w:rsidP="00EB0CC4">
      <w:pPr>
        <w:pStyle w:val="BodyText"/>
        <w:jc w:val="center"/>
        <w:rPr>
          <w:rFonts w:ascii="Dark Courier" w:hAnsi="Dark Courier"/>
        </w:rPr>
      </w:pPr>
      <w:r w:rsidRPr="00EB0CC4">
        <w:rPr>
          <w:rFonts w:ascii="Dark Courier" w:hAnsi="Dark Courier"/>
        </w:rPr>
        <w:t>D. Motion to Remand for a Preliminary Hearing</w:t>
      </w:r>
    </w:p>
    <w:p w:rsidR="00EB0CC4" w:rsidRDefault="00EB0CC4" w:rsidP="00EB0CC4">
      <w:pPr>
        <w:pStyle w:val="BodyText"/>
        <w:jc w:val="center"/>
        <w:rPr>
          <w:rFonts w:ascii="Dark Courier" w:hAnsi="Dark Courier"/>
          <w:b w:val="0"/>
        </w:rPr>
      </w:pPr>
    </w:p>
    <w:p w:rsidR="00EB0CC4" w:rsidRPr="00EB0CC4" w:rsidRDefault="0083383F" w:rsidP="0083383F">
      <w:pPr>
        <w:pStyle w:val="BodyText"/>
        <w:spacing w:line="480" w:lineRule="auto"/>
        <w:ind w:firstLine="720"/>
        <w:jc w:val="both"/>
        <w:rPr>
          <w:rFonts w:ascii="Dark Courier" w:hAnsi="Dark Courier"/>
          <w:b w:val="0"/>
        </w:rPr>
      </w:pPr>
      <w:r>
        <w:rPr>
          <w:rFonts w:ascii="Dark Courier" w:hAnsi="Dark Courier"/>
          <w:b w:val="0"/>
        </w:rPr>
        <w:t xml:space="preserve">In the </w:t>
      </w:r>
      <w:r w:rsidR="008D1CD2">
        <w:rPr>
          <w:rFonts w:ascii="Dark Courier" w:hAnsi="Dark Courier"/>
          <w:b w:val="0"/>
        </w:rPr>
        <w:t>“</w:t>
      </w:r>
      <w:r>
        <w:rPr>
          <w:rFonts w:ascii="Dark Courier" w:hAnsi="Dark Courier"/>
          <w:b w:val="0"/>
        </w:rPr>
        <w:t>Motion</w:t>
      </w:r>
      <w:r w:rsidR="008D1CD2">
        <w:rPr>
          <w:rFonts w:ascii="Dark Courier" w:hAnsi="Dark Courier"/>
          <w:b w:val="0"/>
        </w:rPr>
        <w:t xml:space="preserve"> to </w:t>
      </w:r>
      <w:proofErr w:type="gramStart"/>
      <w:r w:rsidR="008D1CD2">
        <w:rPr>
          <w:rFonts w:ascii="Dark Courier" w:hAnsi="Dark Courier"/>
          <w:b w:val="0"/>
        </w:rPr>
        <w:t>Remand</w:t>
      </w:r>
      <w:proofErr w:type="gramEnd"/>
      <w:r w:rsidR="008D1CD2">
        <w:rPr>
          <w:rFonts w:ascii="Dark Courier" w:hAnsi="Dark Courier"/>
          <w:b w:val="0"/>
        </w:rPr>
        <w:t xml:space="preserve"> for a Preliminary Hearing</w:t>
      </w:r>
      <w:r>
        <w:rPr>
          <w:rFonts w:ascii="Dark Courier" w:hAnsi="Dark Courier"/>
          <w:b w:val="0"/>
        </w:rPr>
        <w:t>,</w:t>
      </w:r>
      <w:r w:rsidR="008D1CD2">
        <w:rPr>
          <w:rFonts w:ascii="Dark Courier" w:hAnsi="Dark Courier"/>
          <w:b w:val="0"/>
        </w:rPr>
        <w:t>”</w:t>
      </w:r>
      <w:r>
        <w:rPr>
          <w:rFonts w:ascii="Dark Courier" w:hAnsi="Dark Courier"/>
          <w:b w:val="0"/>
        </w:rPr>
        <w:t xml:space="preserve"> the Defendant argues that he did not knowingly, voluntarily or </w:t>
      </w:r>
      <w:r>
        <w:rPr>
          <w:rFonts w:ascii="Dark Courier" w:hAnsi="Dark Courier"/>
          <w:b w:val="0"/>
        </w:rPr>
        <w:lastRenderedPageBreak/>
        <w:t xml:space="preserve">intelligently waive his right to a preliminary hearing on the pending charges, and that his prior counsel did not advise him of his rights regarding a preliminary hearing. </w:t>
      </w:r>
      <w:r w:rsidR="00EB0CC4" w:rsidRPr="00EB0CC4">
        <w:rPr>
          <w:rFonts w:ascii="Dark Courier" w:hAnsi="Dark Courier"/>
          <w:b w:val="0"/>
        </w:rPr>
        <w:t xml:space="preserve">Attorney </w:t>
      </w:r>
      <w:r w:rsidR="00857226">
        <w:rPr>
          <w:rFonts w:ascii="Dark Courier" w:hAnsi="Dark Courier"/>
          <w:b w:val="0"/>
        </w:rPr>
        <w:t xml:space="preserve">Brian </w:t>
      </w:r>
      <w:r w:rsidR="00EB0CC4" w:rsidRPr="00EB0CC4">
        <w:rPr>
          <w:rFonts w:ascii="Dark Courier" w:hAnsi="Dark Courier"/>
          <w:b w:val="0"/>
        </w:rPr>
        <w:t xml:space="preserve">Gazo, who was previously appointed as conflict counsel to represent </w:t>
      </w:r>
      <w:r w:rsidR="00857226">
        <w:rPr>
          <w:rFonts w:ascii="Dark Courier" w:hAnsi="Dark Courier"/>
          <w:b w:val="0"/>
        </w:rPr>
        <w:t xml:space="preserve">the </w:t>
      </w:r>
      <w:r w:rsidR="00EB0CC4" w:rsidRPr="00EB0CC4">
        <w:rPr>
          <w:rFonts w:ascii="Dark Courier" w:hAnsi="Dark Courier"/>
          <w:b w:val="0"/>
        </w:rPr>
        <w:t xml:space="preserve">Defendant, testified that he </w:t>
      </w:r>
      <w:r w:rsidR="00B725C4">
        <w:rPr>
          <w:rFonts w:ascii="Dark Courier" w:hAnsi="Dark Courier"/>
          <w:b w:val="0"/>
        </w:rPr>
        <w:t>explained to the Defendant the purpose of a preliminary hearing</w:t>
      </w:r>
      <w:r w:rsidR="00EB0CC4" w:rsidRPr="00EB0CC4">
        <w:rPr>
          <w:rFonts w:ascii="Dark Courier" w:hAnsi="Dark Courier"/>
          <w:b w:val="0"/>
        </w:rPr>
        <w:t xml:space="preserve">, and that it was </w:t>
      </w:r>
      <w:r w:rsidR="008D1CD2">
        <w:rPr>
          <w:rFonts w:ascii="Dark Courier" w:hAnsi="Dark Courier"/>
          <w:b w:val="0"/>
        </w:rPr>
        <w:t>the Defendant’s</w:t>
      </w:r>
      <w:r w:rsidR="00B725C4">
        <w:rPr>
          <w:rFonts w:ascii="Dark Courier" w:hAnsi="Dark Courier"/>
          <w:b w:val="0"/>
        </w:rPr>
        <w:t xml:space="preserve"> right to have such a hearing</w:t>
      </w:r>
      <w:r w:rsidR="00EB0CC4" w:rsidRPr="00EB0CC4">
        <w:rPr>
          <w:rFonts w:ascii="Dark Courier" w:hAnsi="Dark Courier"/>
          <w:b w:val="0"/>
        </w:rPr>
        <w:t xml:space="preserve">. Since </w:t>
      </w:r>
      <w:r w:rsidR="000D4265">
        <w:rPr>
          <w:rFonts w:ascii="Dark Courier" w:hAnsi="Dark Courier"/>
          <w:b w:val="0"/>
        </w:rPr>
        <w:t xml:space="preserve">the </w:t>
      </w:r>
      <w:r w:rsidR="00EB0CC4" w:rsidRPr="00EB0CC4">
        <w:rPr>
          <w:rFonts w:ascii="Dark Courier" w:hAnsi="Dark Courier"/>
          <w:b w:val="0"/>
        </w:rPr>
        <w:t xml:space="preserve">Defendant was concerned with being released from prison, Attorney Gazo also discussed with </w:t>
      </w:r>
      <w:r w:rsidR="000D4265">
        <w:rPr>
          <w:rFonts w:ascii="Dark Courier" w:hAnsi="Dark Courier"/>
          <w:b w:val="0"/>
        </w:rPr>
        <w:t xml:space="preserve">the </w:t>
      </w:r>
      <w:r w:rsidR="00EB0CC4" w:rsidRPr="00EB0CC4">
        <w:rPr>
          <w:rFonts w:ascii="Dark Courier" w:hAnsi="Dark Courier"/>
          <w:b w:val="0"/>
        </w:rPr>
        <w:t xml:space="preserve">Defendant the possibility of </w:t>
      </w:r>
      <w:r w:rsidR="008D1CD2">
        <w:rPr>
          <w:rFonts w:ascii="Dark Courier" w:hAnsi="Dark Courier"/>
          <w:b w:val="0"/>
        </w:rPr>
        <w:t>having</w:t>
      </w:r>
      <w:r w:rsidR="00EB0CC4" w:rsidRPr="00EB0CC4">
        <w:rPr>
          <w:rFonts w:ascii="Dark Courier" w:hAnsi="Dark Courier"/>
          <w:b w:val="0"/>
        </w:rPr>
        <w:t xml:space="preserve"> his bail reduced if he would waive the preliminary hearing. After discussing the matter with </w:t>
      </w:r>
      <w:r w:rsidR="000D4265">
        <w:rPr>
          <w:rFonts w:ascii="Dark Courier" w:hAnsi="Dark Courier"/>
          <w:b w:val="0"/>
        </w:rPr>
        <w:t xml:space="preserve">the </w:t>
      </w:r>
      <w:r w:rsidR="00EB0CC4" w:rsidRPr="00EB0CC4">
        <w:rPr>
          <w:rFonts w:ascii="Dark Courier" w:hAnsi="Dark Courier"/>
          <w:b w:val="0"/>
        </w:rPr>
        <w:t xml:space="preserve">Defendant, his family and the Commonwealth, Attorney Gazo was able to reach an agreement with the Commonwealth that </w:t>
      </w:r>
      <w:r w:rsidR="000D4265">
        <w:rPr>
          <w:rFonts w:ascii="Dark Courier" w:hAnsi="Dark Courier"/>
          <w:b w:val="0"/>
        </w:rPr>
        <w:t xml:space="preserve">the </w:t>
      </w:r>
      <w:r w:rsidR="00EB0CC4" w:rsidRPr="00EB0CC4">
        <w:rPr>
          <w:rFonts w:ascii="Dark Courier" w:hAnsi="Dark Courier"/>
          <w:b w:val="0"/>
        </w:rPr>
        <w:t xml:space="preserve">Defendant’s bail would be reduced to an amount that would equal the value of </w:t>
      </w:r>
      <w:r w:rsidR="000D4265">
        <w:rPr>
          <w:rFonts w:ascii="Dark Courier" w:hAnsi="Dark Courier"/>
          <w:b w:val="0"/>
        </w:rPr>
        <w:t xml:space="preserve">the </w:t>
      </w:r>
      <w:r w:rsidR="00EB0CC4" w:rsidRPr="00EB0CC4">
        <w:rPr>
          <w:rFonts w:ascii="Dark Courier" w:hAnsi="Dark Courier"/>
          <w:b w:val="0"/>
        </w:rPr>
        <w:t xml:space="preserve">Defendant’s father’s home as collateral in exchange for a waiver of the preliminary hearing. </w:t>
      </w:r>
      <w:r w:rsidR="000D4265">
        <w:rPr>
          <w:rFonts w:ascii="Dark Courier" w:hAnsi="Dark Courier"/>
          <w:b w:val="0"/>
        </w:rPr>
        <w:t xml:space="preserve">The bail was then lowered to </w:t>
      </w:r>
      <w:r w:rsidR="008D1CD2">
        <w:rPr>
          <w:rFonts w:ascii="Dark Courier" w:hAnsi="Dark Courier"/>
          <w:b w:val="0"/>
        </w:rPr>
        <w:t>eighty-five thousand dollars (</w:t>
      </w:r>
      <w:r w:rsidR="000D4265">
        <w:rPr>
          <w:rFonts w:ascii="Dark Courier" w:hAnsi="Dark Courier"/>
          <w:b w:val="0"/>
        </w:rPr>
        <w:t>$85,000</w:t>
      </w:r>
      <w:r w:rsidR="008D1CD2">
        <w:rPr>
          <w:rFonts w:ascii="Dark Courier" w:hAnsi="Dark Courier"/>
          <w:b w:val="0"/>
        </w:rPr>
        <w:t>)</w:t>
      </w:r>
      <w:r w:rsidR="000D4265">
        <w:rPr>
          <w:rFonts w:ascii="Dark Courier" w:hAnsi="Dark Courier"/>
          <w:b w:val="0"/>
        </w:rPr>
        <w:t xml:space="preserve"> straight.</w:t>
      </w:r>
      <w:r w:rsidR="00EB0CC4" w:rsidRPr="00EB0CC4">
        <w:rPr>
          <w:rFonts w:ascii="Dark Courier" w:hAnsi="Dark Courier"/>
          <w:b w:val="0"/>
        </w:rPr>
        <w:t xml:space="preserve"> Attorney Gazo </w:t>
      </w:r>
      <w:r w:rsidR="000D4265">
        <w:rPr>
          <w:rFonts w:ascii="Dark Courier" w:hAnsi="Dark Courier"/>
          <w:b w:val="0"/>
        </w:rPr>
        <w:t>testified</w:t>
      </w:r>
      <w:r w:rsidR="00EB0CC4" w:rsidRPr="00EB0CC4">
        <w:rPr>
          <w:rFonts w:ascii="Dark Courier" w:hAnsi="Dark Courier"/>
          <w:b w:val="0"/>
        </w:rPr>
        <w:t xml:space="preserve"> that </w:t>
      </w:r>
      <w:r w:rsidR="000D4265">
        <w:rPr>
          <w:rFonts w:ascii="Dark Courier" w:hAnsi="Dark Courier"/>
          <w:b w:val="0"/>
        </w:rPr>
        <w:t xml:space="preserve">the </w:t>
      </w:r>
      <w:r w:rsidR="00EB0CC4" w:rsidRPr="00EB0CC4">
        <w:rPr>
          <w:rFonts w:ascii="Dark Courier" w:hAnsi="Dark Courier"/>
          <w:b w:val="0"/>
        </w:rPr>
        <w:t>Defendant knew what he was doing when he signed the waiver form for the preliminary hearing, and that he was not coerced in</w:t>
      </w:r>
      <w:r w:rsidR="00E55D59">
        <w:rPr>
          <w:rFonts w:ascii="Dark Courier" w:hAnsi="Dark Courier"/>
          <w:b w:val="0"/>
        </w:rPr>
        <w:t>to doing so. He reviewed the wa</w:t>
      </w:r>
      <w:r w:rsidR="00EB0CC4" w:rsidRPr="00EB0CC4">
        <w:rPr>
          <w:rFonts w:ascii="Dark Courier" w:hAnsi="Dark Courier"/>
          <w:b w:val="0"/>
        </w:rPr>
        <w:t>i</w:t>
      </w:r>
      <w:r w:rsidR="00E55D59">
        <w:rPr>
          <w:rFonts w:ascii="Dark Courier" w:hAnsi="Dark Courier"/>
          <w:b w:val="0"/>
        </w:rPr>
        <w:t>v</w:t>
      </w:r>
      <w:r w:rsidR="00EB0CC4" w:rsidRPr="00EB0CC4">
        <w:rPr>
          <w:rFonts w:ascii="Dark Courier" w:hAnsi="Dark Courier"/>
          <w:b w:val="0"/>
        </w:rPr>
        <w:t xml:space="preserve">er form with </w:t>
      </w:r>
      <w:r w:rsidR="000D4265">
        <w:rPr>
          <w:rFonts w:ascii="Dark Courier" w:hAnsi="Dark Courier"/>
          <w:b w:val="0"/>
        </w:rPr>
        <w:t xml:space="preserve">the </w:t>
      </w:r>
      <w:r w:rsidR="00EB0CC4" w:rsidRPr="00EB0CC4">
        <w:rPr>
          <w:rFonts w:ascii="Dark Courier" w:hAnsi="Dark Courier"/>
          <w:b w:val="0"/>
        </w:rPr>
        <w:t xml:space="preserve">Defendant and read it to him. </w:t>
      </w:r>
      <w:r w:rsidR="000D4265">
        <w:rPr>
          <w:rFonts w:ascii="Dark Courier" w:hAnsi="Dark Courier"/>
          <w:b w:val="0"/>
        </w:rPr>
        <w:t>The</w:t>
      </w:r>
      <w:r w:rsidR="00EB0CC4" w:rsidRPr="00EB0CC4">
        <w:rPr>
          <w:rFonts w:ascii="Dark Courier" w:hAnsi="Dark Courier"/>
          <w:b w:val="0"/>
        </w:rPr>
        <w:t xml:space="preserve"> Defendant also conceded on cross examination that Attorney Gazo explained that the Commonwealth had to present evidence against him at the preliminary hearing. </w:t>
      </w:r>
    </w:p>
    <w:p w:rsidR="00EB0CC4" w:rsidRPr="00EB0CC4" w:rsidRDefault="00EB0CC4" w:rsidP="0083383F">
      <w:pPr>
        <w:pStyle w:val="BodyText"/>
        <w:spacing w:line="480" w:lineRule="auto"/>
        <w:jc w:val="both"/>
        <w:rPr>
          <w:rFonts w:ascii="Dark Courier" w:hAnsi="Dark Courier"/>
          <w:b w:val="0"/>
        </w:rPr>
      </w:pPr>
      <w:r w:rsidRPr="00EB0CC4">
        <w:rPr>
          <w:rFonts w:ascii="Dark Courier" w:hAnsi="Dark Courier"/>
          <w:b w:val="0"/>
        </w:rPr>
        <w:lastRenderedPageBreak/>
        <w:tab/>
      </w:r>
      <w:r w:rsidR="000D4265">
        <w:rPr>
          <w:rFonts w:ascii="Dark Courier" w:hAnsi="Dark Courier"/>
          <w:b w:val="0"/>
        </w:rPr>
        <w:t xml:space="preserve">Based on the foregoing, the </w:t>
      </w:r>
      <w:r w:rsidRPr="00EB0CC4">
        <w:rPr>
          <w:rFonts w:ascii="Dark Courier" w:hAnsi="Dark Courier"/>
          <w:b w:val="0"/>
        </w:rPr>
        <w:t>Defendant clearly had the benefit of counsel when he executed the waiver</w:t>
      </w:r>
      <w:r w:rsidR="000D4265">
        <w:rPr>
          <w:rFonts w:ascii="Dark Courier" w:hAnsi="Dark Courier"/>
          <w:b w:val="0"/>
        </w:rPr>
        <w:t xml:space="preserve"> form and waived his right to a preliminary hearing</w:t>
      </w:r>
      <w:r w:rsidRPr="00EB0CC4">
        <w:rPr>
          <w:rFonts w:ascii="Dark Courier" w:hAnsi="Dark Courier"/>
          <w:b w:val="0"/>
        </w:rPr>
        <w:t xml:space="preserve">. As a result, since the case of </w:t>
      </w:r>
      <w:r w:rsidRPr="00746D2A">
        <w:rPr>
          <w:rFonts w:ascii="Dark Courier" w:hAnsi="Dark Courier"/>
          <w:b w:val="0"/>
          <w:u w:val="single"/>
        </w:rPr>
        <w:t>Commonwealth v. Smith</w:t>
      </w:r>
      <w:r w:rsidRPr="00EB0CC4">
        <w:rPr>
          <w:rFonts w:ascii="Dark Courier" w:hAnsi="Dark Courier"/>
          <w:b w:val="0"/>
        </w:rPr>
        <w:t xml:space="preserve">, 6 Pa. D. &amp; C. 3d 365 (C.P. Warren 1978), cited by </w:t>
      </w:r>
      <w:r w:rsidR="008D1CD2">
        <w:rPr>
          <w:rFonts w:ascii="Dark Courier" w:hAnsi="Dark Courier"/>
          <w:b w:val="0"/>
        </w:rPr>
        <w:t xml:space="preserve">the </w:t>
      </w:r>
      <w:r w:rsidRPr="00EB0CC4">
        <w:rPr>
          <w:rFonts w:ascii="Dark Courier" w:hAnsi="Dark Courier"/>
          <w:b w:val="0"/>
        </w:rPr>
        <w:t>Defendant</w:t>
      </w:r>
      <w:r w:rsidR="008D1CD2">
        <w:rPr>
          <w:rFonts w:ascii="Dark Courier" w:hAnsi="Dark Courier"/>
          <w:b w:val="0"/>
        </w:rPr>
        <w:t>,</w:t>
      </w:r>
      <w:r w:rsidRPr="00EB0CC4">
        <w:rPr>
          <w:rFonts w:ascii="Dark Courier" w:hAnsi="Dark Courier"/>
          <w:b w:val="0"/>
        </w:rPr>
        <w:t xml:space="preserve"> involved a defendant who waived his preliminary hearing without the benefit of counsel, that case is distinguishable</w:t>
      </w:r>
      <w:r w:rsidR="00746D2A">
        <w:rPr>
          <w:rFonts w:ascii="Dark Courier" w:hAnsi="Dark Courier"/>
          <w:b w:val="0"/>
        </w:rPr>
        <w:t xml:space="preserve"> from the instant matter</w:t>
      </w:r>
      <w:r w:rsidRPr="00EB0CC4">
        <w:rPr>
          <w:rFonts w:ascii="Dark Courier" w:hAnsi="Dark Courier"/>
          <w:b w:val="0"/>
        </w:rPr>
        <w:t xml:space="preserve">. Accordingly, there is insufficient evidence to suggest that </w:t>
      </w:r>
      <w:r w:rsidR="000D4265">
        <w:rPr>
          <w:rFonts w:ascii="Dark Courier" w:hAnsi="Dark Courier"/>
          <w:b w:val="0"/>
        </w:rPr>
        <w:t xml:space="preserve">the </w:t>
      </w:r>
      <w:r w:rsidRPr="00EB0CC4">
        <w:rPr>
          <w:rFonts w:ascii="Dark Courier" w:hAnsi="Dark Courier"/>
          <w:b w:val="0"/>
        </w:rPr>
        <w:t xml:space="preserve">Defendant did not knowingly or voluntarily waive his right to a preliminary hearing. Thus, </w:t>
      </w:r>
      <w:r w:rsidR="00746D2A">
        <w:rPr>
          <w:rFonts w:ascii="Dark Courier" w:hAnsi="Dark Courier"/>
          <w:b w:val="0"/>
        </w:rPr>
        <w:t xml:space="preserve">the </w:t>
      </w:r>
      <w:r w:rsidRPr="00EB0CC4">
        <w:rPr>
          <w:rFonts w:ascii="Dark Courier" w:hAnsi="Dark Courier"/>
          <w:b w:val="0"/>
        </w:rPr>
        <w:t xml:space="preserve">Defendant’s Motion </w:t>
      </w:r>
      <w:r w:rsidR="00746D2A">
        <w:rPr>
          <w:rFonts w:ascii="Dark Courier" w:hAnsi="Dark Courier"/>
          <w:b w:val="0"/>
        </w:rPr>
        <w:t>must</w:t>
      </w:r>
      <w:r w:rsidRPr="00EB0CC4">
        <w:rPr>
          <w:rFonts w:ascii="Dark Courier" w:hAnsi="Dark Courier"/>
          <w:b w:val="0"/>
        </w:rPr>
        <w:t xml:space="preserve"> be denied in this regard. </w:t>
      </w:r>
    </w:p>
    <w:p w:rsidR="00E02728" w:rsidRPr="006655AC" w:rsidRDefault="006655AC">
      <w:pPr>
        <w:pStyle w:val="BodyText"/>
        <w:ind w:right="12"/>
        <w:jc w:val="center"/>
        <w:rPr>
          <w:rFonts w:ascii="Dark Courier" w:hAnsi="Dark Courier"/>
          <w:u w:val="single"/>
        </w:rPr>
      </w:pPr>
      <w:r w:rsidRPr="006655AC">
        <w:rPr>
          <w:rFonts w:ascii="Dark Courier" w:hAnsi="Dark Courier"/>
          <w:u w:val="single"/>
        </w:rPr>
        <w:t>CONCLUSION</w:t>
      </w:r>
    </w:p>
    <w:p w:rsidR="00E02728" w:rsidRPr="006655AC" w:rsidRDefault="00E02728">
      <w:pPr>
        <w:pStyle w:val="BodyText"/>
        <w:ind w:right="12"/>
        <w:jc w:val="both"/>
        <w:rPr>
          <w:rFonts w:ascii="Dark Courier" w:hAnsi="Dark Courier"/>
          <w:b w:val="0"/>
        </w:rPr>
      </w:pPr>
    </w:p>
    <w:p w:rsidR="00E02728" w:rsidRPr="004F650A" w:rsidRDefault="00B725C4" w:rsidP="004F650A">
      <w:pPr>
        <w:pStyle w:val="BodyText"/>
        <w:spacing w:line="480" w:lineRule="auto"/>
        <w:ind w:right="12" w:firstLine="720"/>
        <w:jc w:val="both"/>
        <w:rPr>
          <w:rFonts w:ascii="Dark Courier" w:hAnsi="Dark Courier"/>
          <w:b w:val="0"/>
        </w:rPr>
      </w:pPr>
      <w:r>
        <w:rPr>
          <w:rFonts w:ascii="Dark Courier" w:hAnsi="Dark Courier"/>
          <w:b w:val="0"/>
        </w:rPr>
        <w:t>In accordance with</w:t>
      </w:r>
      <w:r w:rsidR="008D1CD2">
        <w:rPr>
          <w:rFonts w:ascii="Dark Courier" w:hAnsi="Dark Courier"/>
          <w:b w:val="0"/>
        </w:rPr>
        <w:t xml:space="preserve"> the foregoing, </w:t>
      </w:r>
      <w:r w:rsidR="003B507E">
        <w:rPr>
          <w:rFonts w:ascii="Dark Courier" w:hAnsi="Dark Courier"/>
          <w:b w:val="0"/>
        </w:rPr>
        <w:t xml:space="preserve">the Defendant’s </w:t>
      </w:r>
      <w:r w:rsidR="00A136EE" w:rsidRPr="00A136EE">
        <w:rPr>
          <w:rFonts w:ascii="Dark Courier" w:hAnsi="Dark Courier"/>
          <w:b w:val="0"/>
        </w:rPr>
        <w:t>“</w:t>
      </w:r>
      <w:r w:rsidR="009E186E">
        <w:rPr>
          <w:rFonts w:ascii="Dark Courier" w:hAnsi="Dark Courier"/>
          <w:b w:val="0"/>
        </w:rPr>
        <w:t>Amended Omnibus Pretrial Motion</w:t>
      </w:r>
      <w:r w:rsidR="00A136EE" w:rsidRPr="00A136EE">
        <w:rPr>
          <w:rFonts w:ascii="Dark Courier" w:hAnsi="Dark Courier"/>
          <w:b w:val="0"/>
        </w:rPr>
        <w:t>”</w:t>
      </w:r>
      <w:r w:rsidR="00A136EE">
        <w:rPr>
          <w:rFonts w:ascii="Dark Courier" w:hAnsi="Dark Courier"/>
          <w:b w:val="0"/>
        </w:rPr>
        <w:t xml:space="preserve"> </w:t>
      </w:r>
      <w:r>
        <w:rPr>
          <w:rFonts w:ascii="Dark Courier" w:hAnsi="Dark Courier"/>
          <w:b w:val="0"/>
        </w:rPr>
        <w:t>is</w:t>
      </w:r>
      <w:r w:rsidR="003B507E">
        <w:rPr>
          <w:rFonts w:ascii="Dark Courier" w:hAnsi="Dark Courier"/>
          <w:b w:val="0"/>
        </w:rPr>
        <w:t xml:space="preserve"> </w:t>
      </w:r>
      <w:r w:rsidR="00974788">
        <w:rPr>
          <w:rFonts w:ascii="Dark Courier" w:hAnsi="Dark Courier"/>
          <w:b w:val="0"/>
        </w:rPr>
        <w:t>denied</w:t>
      </w:r>
      <w:r w:rsidR="003B507E">
        <w:rPr>
          <w:rFonts w:ascii="Dark Courier" w:hAnsi="Dark Courier"/>
          <w:b w:val="0"/>
        </w:rPr>
        <w:t>.</w:t>
      </w:r>
    </w:p>
    <w:p w:rsidR="00E02728" w:rsidRPr="006655AC" w:rsidRDefault="00E02728">
      <w:pPr>
        <w:pStyle w:val="BodyText"/>
        <w:ind w:right="12"/>
        <w:jc w:val="both"/>
        <w:rPr>
          <w:rFonts w:ascii="Dark Courier" w:hAnsi="Dark Courier"/>
        </w:rPr>
      </w:pPr>
      <w:r w:rsidRPr="006655AC">
        <w:rPr>
          <w:rFonts w:ascii="Dark Courier" w:hAnsi="Dark Courier"/>
          <w:b w:val="0"/>
        </w:rPr>
        <w:tab/>
      </w:r>
      <w:r w:rsidRPr="006655AC">
        <w:rPr>
          <w:rFonts w:ascii="Dark Courier" w:hAnsi="Dark Courier"/>
          <w:b w:val="0"/>
        </w:rPr>
        <w:tab/>
      </w:r>
      <w:r w:rsidRPr="006655AC">
        <w:rPr>
          <w:rFonts w:ascii="Dark Courier" w:hAnsi="Dark Courier"/>
          <w:b w:val="0"/>
        </w:rPr>
        <w:tab/>
      </w:r>
      <w:r w:rsidRPr="006655AC">
        <w:rPr>
          <w:rFonts w:ascii="Dark Courier" w:hAnsi="Dark Courier"/>
          <w:b w:val="0"/>
        </w:rPr>
        <w:tab/>
      </w:r>
      <w:r w:rsidRPr="006655AC">
        <w:rPr>
          <w:rFonts w:ascii="Dark Courier" w:hAnsi="Dark Courier"/>
          <w:b w:val="0"/>
        </w:rPr>
        <w:tab/>
      </w:r>
      <w:r w:rsidRPr="006655AC">
        <w:rPr>
          <w:rFonts w:ascii="Dark Courier" w:hAnsi="Dark Courier"/>
          <w:b w:val="0"/>
        </w:rPr>
        <w:tab/>
      </w:r>
      <w:r w:rsidRPr="006655AC">
        <w:rPr>
          <w:rFonts w:ascii="Dark Courier" w:hAnsi="Dark Courier"/>
          <w:b w:val="0"/>
        </w:rPr>
        <w:tab/>
      </w:r>
      <w:r w:rsidRPr="006655AC">
        <w:rPr>
          <w:rFonts w:ascii="Dark Courier" w:hAnsi="Dark Courier"/>
        </w:rPr>
        <w:t>BY THE COURT:</w:t>
      </w:r>
    </w:p>
    <w:p w:rsidR="00E02728" w:rsidRPr="006655AC" w:rsidRDefault="00E02728">
      <w:pPr>
        <w:pStyle w:val="BodyText"/>
        <w:ind w:right="12"/>
        <w:jc w:val="both"/>
        <w:rPr>
          <w:rFonts w:ascii="Dark Courier" w:hAnsi="Dark Courier"/>
        </w:rPr>
      </w:pPr>
    </w:p>
    <w:p w:rsidR="00E02728" w:rsidRPr="006655AC" w:rsidRDefault="00E02728">
      <w:pPr>
        <w:pStyle w:val="BodyText"/>
        <w:ind w:right="12"/>
        <w:jc w:val="both"/>
        <w:rPr>
          <w:rFonts w:ascii="Dark Courier" w:hAnsi="Dark Courier"/>
        </w:rPr>
      </w:pPr>
    </w:p>
    <w:p w:rsidR="00E02728" w:rsidRDefault="00E02728">
      <w:pPr>
        <w:pStyle w:val="BodyText"/>
        <w:ind w:right="12"/>
        <w:jc w:val="both"/>
        <w:rPr>
          <w:rFonts w:ascii="Dark Courier" w:hAnsi="Dark Courier"/>
        </w:rPr>
      </w:pPr>
      <w:r w:rsidRPr="006655AC">
        <w:rPr>
          <w:rFonts w:ascii="Dark Courier" w:hAnsi="Dark Courier"/>
        </w:rPr>
        <w:tab/>
      </w:r>
      <w:r w:rsidRPr="006655AC">
        <w:rPr>
          <w:rFonts w:ascii="Dark Courier" w:hAnsi="Dark Courier"/>
        </w:rPr>
        <w:tab/>
      </w:r>
      <w:r w:rsidRPr="006655AC">
        <w:rPr>
          <w:rFonts w:ascii="Dark Courier" w:hAnsi="Dark Courier"/>
        </w:rPr>
        <w:tab/>
      </w:r>
      <w:r w:rsidRPr="006655AC">
        <w:rPr>
          <w:rFonts w:ascii="Dark Courier" w:hAnsi="Dark Courier"/>
        </w:rPr>
        <w:tab/>
      </w:r>
      <w:r w:rsidRPr="006655AC">
        <w:rPr>
          <w:rFonts w:ascii="Dark Courier" w:hAnsi="Dark Courier"/>
        </w:rPr>
        <w:tab/>
      </w:r>
      <w:r w:rsidRPr="006655AC">
        <w:rPr>
          <w:rFonts w:ascii="Dark Courier" w:hAnsi="Dark Courier"/>
        </w:rPr>
        <w:tab/>
      </w:r>
      <w:r w:rsidRPr="006655AC">
        <w:rPr>
          <w:rFonts w:ascii="Dark Courier" w:hAnsi="Dark Courier"/>
        </w:rPr>
        <w:tab/>
      </w:r>
      <w:proofErr w:type="gramStart"/>
      <w:r w:rsidRPr="006655AC">
        <w:rPr>
          <w:rFonts w:ascii="Dark Courier" w:hAnsi="Dark Courier"/>
        </w:rPr>
        <w:t>_______</w:t>
      </w:r>
      <w:r w:rsidR="006655AC" w:rsidRPr="006655AC">
        <w:rPr>
          <w:rFonts w:ascii="Dark Courier" w:hAnsi="Dark Courier"/>
        </w:rPr>
        <w:t>______________________</w:t>
      </w:r>
      <w:r w:rsidR="006655AC" w:rsidRPr="006655AC">
        <w:rPr>
          <w:rFonts w:ascii="Dark Courier" w:hAnsi="Dark Courier"/>
        </w:rPr>
        <w:tab/>
      </w:r>
      <w:r w:rsidR="006655AC" w:rsidRPr="006655AC">
        <w:rPr>
          <w:rFonts w:ascii="Dark Courier" w:hAnsi="Dark Courier"/>
        </w:rPr>
        <w:tab/>
      </w:r>
      <w:r w:rsidR="006655AC" w:rsidRPr="006655AC">
        <w:rPr>
          <w:rFonts w:ascii="Dark Courier" w:hAnsi="Dark Courier"/>
        </w:rPr>
        <w:tab/>
      </w:r>
      <w:r w:rsidR="006655AC" w:rsidRPr="006655AC">
        <w:rPr>
          <w:rFonts w:ascii="Dark Courier" w:hAnsi="Dark Courier"/>
        </w:rPr>
        <w:tab/>
      </w:r>
      <w:r w:rsidR="006655AC" w:rsidRPr="006655AC">
        <w:rPr>
          <w:rFonts w:ascii="Dark Courier" w:hAnsi="Dark Courier"/>
        </w:rPr>
        <w:tab/>
      </w:r>
      <w:r w:rsidR="006655AC" w:rsidRPr="006655AC">
        <w:rPr>
          <w:rFonts w:ascii="Dark Courier" w:hAnsi="Dark Courier"/>
        </w:rPr>
        <w:tab/>
      </w:r>
      <w:r w:rsidR="006655AC" w:rsidRPr="006655AC">
        <w:rPr>
          <w:rFonts w:ascii="Dark Courier" w:hAnsi="Dark Courier"/>
        </w:rPr>
        <w:tab/>
        <w:t xml:space="preserve">Steven R. Serfass, </w:t>
      </w:r>
      <w:r w:rsidRPr="006655AC">
        <w:rPr>
          <w:rFonts w:ascii="Dark Courier" w:hAnsi="Dark Courier"/>
        </w:rPr>
        <w:t>J.</w:t>
      </w:r>
      <w:proofErr w:type="gramEnd"/>
    </w:p>
    <w:p w:rsidR="000F6711" w:rsidRDefault="000F6711">
      <w:pPr>
        <w:pStyle w:val="BodyText"/>
        <w:ind w:right="12"/>
        <w:jc w:val="both"/>
        <w:rPr>
          <w:rFonts w:ascii="Dark Courier" w:hAnsi="Dark Courier"/>
        </w:rPr>
      </w:pPr>
    </w:p>
    <w:p w:rsidR="000F6711" w:rsidRDefault="000F6711">
      <w:pPr>
        <w:pStyle w:val="BodyText"/>
        <w:ind w:right="12"/>
        <w:jc w:val="both"/>
        <w:rPr>
          <w:rFonts w:ascii="Dark Courier" w:hAnsi="Dark Courier"/>
        </w:rPr>
        <w:sectPr w:rsidR="000F6711">
          <w:footerReference w:type="default" r:id="rId8"/>
          <w:pgSz w:w="12240" w:h="15840"/>
          <w:pgMar w:top="1440" w:right="1440" w:bottom="1440" w:left="1440" w:header="720" w:footer="720" w:gutter="0"/>
          <w:cols w:space="720"/>
          <w:docGrid w:linePitch="360"/>
        </w:sectPr>
      </w:pPr>
    </w:p>
    <w:p w:rsidR="000F6711" w:rsidRPr="006655AC" w:rsidRDefault="000F6711" w:rsidP="000F6711">
      <w:pPr>
        <w:pStyle w:val="Title"/>
        <w:rPr>
          <w:rFonts w:ascii="Dark Courier" w:hAnsi="Dark Courier"/>
        </w:rPr>
      </w:pPr>
      <w:r w:rsidRPr="006655AC">
        <w:rPr>
          <w:rFonts w:ascii="Dark Courier" w:hAnsi="Dark Courier"/>
        </w:rPr>
        <w:lastRenderedPageBreak/>
        <w:t>IN THE COURT OF COMMON PLEAS OF CARBON COUNTY, PENNSYLVANIA</w:t>
      </w:r>
    </w:p>
    <w:p w:rsidR="000F6711" w:rsidRPr="006655AC" w:rsidRDefault="000F6711" w:rsidP="000F6711">
      <w:pPr>
        <w:pStyle w:val="Subtitle"/>
        <w:rPr>
          <w:rFonts w:ascii="Dark Courier" w:hAnsi="Dark Courier"/>
          <w:u w:val="none"/>
        </w:rPr>
      </w:pPr>
      <w:r w:rsidRPr="006655AC">
        <w:rPr>
          <w:rFonts w:ascii="Dark Courier" w:hAnsi="Dark Courier"/>
          <w:u w:val="none"/>
        </w:rPr>
        <w:t>CRIMINAL DIVISION</w:t>
      </w:r>
    </w:p>
    <w:p w:rsidR="000F6711" w:rsidRPr="006655AC" w:rsidRDefault="000F6711" w:rsidP="000F6711">
      <w:pPr>
        <w:rPr>
          <w:rFonts w:ascii="Dark Courier" w:hAnsi="Dark Courier"/>
          <w:bCs/>
        </w:rPr>
      </w:pPr>
    </w:p>
    <w:p w:rsidR="00200495" w:rsidRPr="006655AC" w:rsidRDefault="00200495" w:rsidP="00200495">
      <w:pPr>
        <w:rPr>
          <w:rFonts w:ascii="Dark Courier" w:hAnsi="Dark Courier"/>
          <w:bCs/>
        </w:rPr>
      </w:pPr>
      <w:r w:rsidRPr="006655AC">
        <w:rPr>
          <w:rFonts w:ascii="Dark Courier" w:hAnsi="Dark Courier"/>
          <w:bCs/>
        </w:rPr>
        <w:t>COMMONWEALTH OF PENNSYLVANIA</w:t>
      </w:r>
      <w:r w:rsidRPr="006655AC">
        <w:rPr>
          <w:rFonts w:ascii="Dark Courier" w:hAnsi="Dark Courier"/>
          <w:bCs/>
        </w:rPr>
        <w:tab/>
        <w:t>:</w:t>
      </w:r>
      <w:r w:rsidRPr="006655AC">
        <w:rPr>
          <w:rFonts w:ascii="Dark Courier" w:hAnsi="Dark Courier"/>
          <w:bCs/>
        </w:rPr>
        <w:tab/>
      </w:r>
    </w:p>
    <w:p w:rsidR="00200495" w:rsidRPr="006655AC" w:rsidRDefault="00200495" w:rsidP="00200495">
      <w:pPr>
        <w:rPr>
          <w:rFonts w:ascii="Dark Courier" w:hAnsi="Dark Courier"/>
          <w:bCs/>
        </w:rPr>
      </w:pPr>
      <w:r w:rsidRPr="006655AC">
        <w:rPr>
          <w:rFonts w:ascii="Dark Courier" w:hAnsi="Dark Courier"/>
          <w:bCs/>
        </w:rPr>
        <w:tab/>
      </w:r>
      <w:r w:rsidRPr="006655AC">
        <w:rPr>
          <w:rFonts w:ascii="Dark Courier" w:hAnsi="Dark Courier"/>
          <w:bCs/>
        </w:rPr>
        <w:tab/>
      </w:r>
      <w:r w:rsidRPr="006655AC">
        <w:rPr>
          <w:rFonts w:ascii="Dark Courier" w:hAnsi="Dark Courier"/>
          <w:bCs/>
        </w:rPr>
        <w:tab/>
      </w:r>
      <w:r w:rsidRPr="006655AC">
        <w:rPr>
          <w:rFonts w:ascii="Dark Courier" w:hAnsi="Dark Courier"/>
          <w:bCs/>
        </w:rPr>
        <w:tab/>
      </w:r>
      <w:r w:rsidRPr="006655AC">
        <w:rPr>
          <w:rFonts w:ascii="Dark Courier" w:hAnsi="Dark Courier"/>
          <w:bCs/>
        </w:rPr>
        <w:tab/>
      </w:r>
      <w:r w:rsidRPr="006655AC">
        <w:rPr>
          <w:rFonts w:ascii="Dark Courier" w:hAnsi="Dark Courier"/>
          <w:bCs/>
        </w:rPr>
        <w:tab/>
        <w:t>:</w:t>
      </w:r>
    </w:p>
    <w:p w:rsidR="00200495" w:rsidRPr="006655AC" w:rsidRDefault="00200495" w:rsidP="00200495">
      <w:pPr>
        <w:rPr>
          <w:rFonts w:ascii="Dark Courier" w:hAnsi="Dark Courier"/>
          <w:bCs/>
        </w:rPr>
      </w:pPr>
      <w:r w:rsidRPr="006655AC">
        <w:rPr>
          <w:rFonts w:ascii="Dark Courier" w:hAnsi="Dark Courier"/>
          <w:bCs/>
        </w:rPr>
        <w:tab/>
      </w:r>
      <w:r w:rsidRPr="006655AC">
        <w:rPr>
          <w:rFonts w:ascii="Dark Courier" w:hAnsi="Dark Courier"/>
          <w:bCs/>
        </w:rPr>
        <w:tab/>
      </w:r>
      <w:proofErr w:type="gramStart"/>
      <w:r w:rsidRPr="006655AC">
        <w:rPr>
          <w:rFonts w:ascii="Dark Courier" w:hAnsi="Dark Courier"/>
          <w:bCs/>
        </w:rPr>
        <w:t>vs</w:t>
      </w:r>
      <w:proofErr w:type="gramEnd"/>
      <w:r w:rsidRPr="006655AC">
        <w:rPr>
          <w:rFonts w:ascii="Dark Courier" w:hAnsi="Dark Courier"/>
          <w:bCs/>
        </w:rPr>
        <w:t>.</w:t>
      </w:r>
      <w:r w:rsidRPr="006655AC">
        <w:rPr>
          <w:rFonts w:ascii="Dark Courier" w:hAnsi="Dark Courier"/>
          <w:bCs/>
        </w:rPr>
        <w:tab/>
      </w:r>
      <w:r w:rsidRPr="006655AC">
        <w:rPr>
          <w:rFonts w:ascii="Dark Courier" w:hAnsi="Dark Courier"/>
          <w:bCs/>
        </w:rPr>
        <w:tab/>
      </w:r>
      <w:r w:rsidRPr="006655AC">
        <w:rPr>
          <w:rFonts w:ascii="Dark Courier" w:hAnsi="Dark Courier"/>
          <w:bCs/>
        </w:rPr>
        <w:tab/>
      </w:r>
      <w:r w:rsidRPr="006655AC">
        <w:rPr>
          <w:rFonts w:ascii="Dark Courier" w:hAnsi="Dark Courier"/>
          <w:bCs/>
        </w:rPr>
        <w:tab/>
        <w:t>:</w:t>
      </w:r>
      <w:r w:rsidRPr="006655AC">
        <w:rPr>
          <w:rFonts w:ascii="Dark Courier" w:hAnsi="Dark Courier"/>
          <w:bCs/>
        </w:rPr>
        <w:tab/>
        <w:t>No:</w:t>
      </w:r>
      <w:r w:rsidRPr="006655AC">
        <w:rPr>
          <w:rFonts w:ascii="Dark Courier" w:hAnsi="Dark Courier"/>
          <w:bCs/>
        </w:rPr>
        <w:tab/>
      </w:r>
      <w:r>
        <w:rPr>
          <w:rFonts w:ascii="Dark Courier" w:hAnsi="Dark Courier"/>
          <w:bCs/>
        </w:rPr>
        <w:t>354</w:t>
      </w:r>
      <w:r w:rsidRPr="006655AC">
        <w:rPr>
          <w:rFonts w:ascii="Dark Courier" w:hAnsi="Dark Courier"/>
          <w:bCs/>
        </w:rPr>
        <w:t xml:space="preserve"> CR </w:t>
      </w:r>
      <w:r>
        <w:rPr>
          <w:rFonts w:ascii="Dark Courier" w:hAnsi="Dark Courier"/>
          <w:bCs/>
        </w:rPr>
        <w:t>11</w:t>
      </w:r>
    </w:p>
    <w:p w:rsidR="00200495" w:rsidRPr="006655AC" w:rsidRDefault="00200495" w:rsidP="00200495">
      <w:pPr>
        <w:rPr>
          <w:rFonts w:ascii="Dark Courier" w:hAnsi="Dark Courier"/>
          <w:bCs/>
        </w:rPr>
      </w:pPr>
      <w:r w:rsidRPr="006655AC">
        <w:rPr>
          <w:rFonts w:ascii="Dark Courier" w:hAnsi="Dark Courier"/>
          <w:bCs/>
        </w:rPr>
        <w:tab/>
      </w:r>
      <w:r w:rsidRPr="006655AC">
        <w:rPr>
          <w:rFonts w:ascii="Dark Courier" w:hAnsi="Dark Courier"/>
          <w:bCs/>
        </w:rPr>
        <w:tab/>
      </w:r>
      <w:r w:rsidRPr="006655AC">
        <w:rPr>
          <w:rFonts w:ascii="Dark Courier" w:hAnsi="Dark Courier"/>
          <w:bCs/>
        </w:rPr>
        <w:tab/>
      </w:r>
      <w:r w:rsidRPr="006655AC">
        <w:rPr>
          <w:rFonts w:ascii="Dark Courier" w:hAnsi="Dark Courier"/>
          <w:bCs/>
        </w:rPr>
        <w:tab/>
      </w:r>
      <w:r w:rsidRPr="006655AC">
        <w:rPr>
          <w:rFonts w:ascii="Dark Courier" w:hAnsi="Dark Courier"/>
          <w:bCs/>
        </w:rPr>
        <w:tab/>
      </w:r>
      <w:r w:rsidRPr="006655AC">
        <w:rPr>
          <w:rFonts w:ascii="Dark Courier" w:hAnsi="Dark Courier"/>
          <w:bCs/>
        </w:rPr>
        <w:tab/>
        <w:t>:</w:t>
      </w:r>
      <w:r w:rsidRPr="006655AC">
        <w:rPr>
          <w:rFonts w:ascii="Dark Courier" w:hAnsi="Dark Courier"/>
          <w:bCs/>
        </w:rPr>
        <w:tab/>
      </w:r>
      <w:r w:rsidRPr="006655AC">
        <w:rPr>
          <w:rFonts w:ascii="Dark Courier" w:hAnsi="Dark Courier"/>
          <w:bCs/>
        </w:rPr>
        <w:tab/>
      </w:r>
    </w:p>
    <w:p w:rsidR="00200495" w:rsidRPr="006655AC" w:rsidRDefault="00200495" w:rsidP="00200495">
      <w:pPr>
        <w:rPr>
          <w:rFonts w:ascii="Dark Courier" w:hAnsi="Dark Courier"/>
          <w:bCs/>
        </w:rPr>
      </w:pPr>
      <w:r>
        <w:rPr>
          <w:rFonts w:ascii="Dark Courier" w:hAnsi="Dark Courier"/>
          <w:bCs/>
        </w:rPr>
        <w:t xml:space="preserve">CHRISTOPHER RAY </w:t>
      </w:r>
      <w:proofErr w:type="gramStart"/>
      <w:r>
        <w:rPr>
          <w:rFonts w:ascii="Dark Courier" w:hAnsi="Dark Courier"/>
          <w:bCs/>
        </w:rPr>
        <w:t>HARRIS,</w:t>
      </w:r>
      <w:r>
        <w:rPr>
          <w:rFonts w:ascii="Dark Courier" w:hAnsi="Dark Courier"/>
          <w:bCs/>
        </w:rPr>
        <w:tab/>
      </w:r>
      <w:r>
        <w:rPr>
          <w:rFonts w:ascii="Dark Courier" w:hAnsi="Dark Courier"/>
          <w:bCs/>
        </w:rPr>
        <w:tab/>
      </w:r>
      <w:r w:rsidRPr="006655AC">
        <w:rPr>
          <w:rFonts w:ascii="Dark Courier" w:hAnsi="Dark Courier"/>
          <w:bCs/>
        </w:rPr>
        <w:t>:</w:t>
      </w:r>
      <w:proofErr w:type="gramEnd"/>
      <w:r w:rsidRPr="006655AC">
        <w:rPr>
          <w:rFonts w:ascii="Dark Courier" w:hAnsi="Dark Courier"/>
          <w:bCs/>
        </w:rPr>
        <w:tab/>
      </w:r>
      <w:r w:rsidRPr="006655AC">
        <w:rPr>
          <w:rFonts w:ascii="Dark Courier" w:hAnsi="Dark Courier"/>
          <w:bCs/>
        </w:rPr>
        <w:tab/>
      </w:r>
    </w:p>
    <w:p w:rsidR="00200495" w:rsidRPr="006655AC" w:rsidRDefault="00200495" w:rsidP="00200495">
      <w:pPr>
        <w:rPr>
          <w:rFonts w:ascii="Dark Courier" w:hAnsi="Dark Courier"/>
          <w:bCs/>
        </w:rPr>
      </w:pPr>
      <w:r w:rsidRPr="006655AC">
        <w:rPr>
          <w:rFonts w:ascii="Dark Courier" w:hAnsi="Dark Courier"/>
          <w:bCs/>
        </w:rPr>
        <w:tab/>
      </w:r>
      <w:r w:rsidRPr="006655AC">
        <w:rPr>
          <w:rFonts w:ascii="Dark Courier" w:hAnsi="Dark Courier"/>
          <w:bCs/>
        </w:rPr>
        <w:tab/>
        <w:t>Defendant</w:t>
      </w:r>
      <w:r w:rsidRPr="006655AC">
        <w:rPr>
          <w:rFonts w:ascii="Dark Courier" w:hAnsi="Dark Courier"/>
          <w:bCs/>
        </w:rPr>
        <w:tab/>
      </w:r>
      <w:r w:rsidRPr="006655AC">
        <w:rPr>
          <w:rFonts w:ascii="Dark Courier" w:hAnsi="Dark Courier"/>
          <w:bCs/>
        </w:rPr>
        <w:tab/>
      </w:r>
      <w:r w:rsidRPr="006655AC">
        <w:rPr>
          <w:rFonts w:ascii="Dark Courier" w:hAnsi="Dark Courier"/>
          <w:bCs/>
        </w:rPr>
        <w:tab/>
        <w:t>:</w:t>
      </w:r>
      <w:r w:rsidRPr="006655AC">
        <w:rPr>
          <w:rFonts w:ascii="Dark Courier" w:hAnsi="Dark Courier"/>
          <w:bCs/>
        </w:rPr>
        <w:tab/>
      </w:r>
      <w:r w:rsidRPr="006655AC">
        <w:rPr>
          <w:rFonts w:ascii="Dark Courier" w:hAnsi="Dark Courier"/>
          <w:bCs/>
        </w:rPr>
        <w:tab/>
      </w:r>
    </w:p>
    <w:p w:rsidR="00200495" w:rsidRPr="006655AC" w:rsidRDefault="00200495" w:rsidP="00200495">
      <w:pPr>
        <w:rPr>
          <w:rFonts w:ascii="Dark Courier" w:hAnsi="Dark Courier"/>
          <w:bCs/>
        </w:rPr>
      </w:pPr>
    </w:p>
    <w:p w:rsidR="00200495" w:rsidRPr="006655AC" w:rsidRDefault="00200495" w:rsidP="00200495">
      <w:pPr>
        <w:ind w:left="5040" w:hanging="5040"/>
        <w:rPr>
          <w:rFonts w:ascii="Dark Courier" w:hAnsi="Dark Courier"/>
          <w:bCs/>
        </w:rPr>
      </w:pPr>
      <w:r>
        <w:rPr>
          <w:rFonts w:ascii="Dark Courier" w:hAnsi="Dark Courier"/>
          <w:bCs/>
        </w:rPr>
        <w:t>William E. McDonald</w:t>
      </w:r>
      <w:r w:rsidRPr="006655AC">
        <w:rPr>
          <w:rFonts w:ascii="Dark Courier" w:hAnsi="Dark Courier"/>
          <w:bCs/>
        </w:rPr>
        <w:t>, Esquire</w:t>
      </w:r>
      <w:r w:rsidRPr="006655AC">
        <w:rPr>
          <w:rFonts w:ascii="Dark Courier" w:hAnsi="Dark Courier"/>
          <w:bCs/>
        </w:rPr>
        <w:tab/>
      </w:r>
    </w:p>
    <w:p w:rsidR="00200495" w:rsidRPr="006655AC" w:rsidRDefault="00200495" w:rsidP="00200495">
      <w:pPr>
        <w:ind w:left="5040" w:hanging="4320"/>
        <w:rPr>
          <w:rFonts w:ascii="Dark Courier" w:hAnsi="Dark Courier"/>
          <w:bCs/>
        </w:rPr>
      </w:pPr>
      <w:r w:rsidRPr="006655AC">
        <w:rPr>
          <w:rFonts w:ascii="Dark Courier" w:hAnsi="Dark Courier"/>
          <w:bCs/>
        </w:rPr>
        <w:t xml:space="preserve">Assistant District Attorney </w:t>
      </w:r>
      <w:r w:rsidRPr="006655AC">
        <w:rPr>
          <w:rFonts w:ascii="Dark Courier" w:hAnsi="Dark Courier"/>
          <w:bCs/>
        </w:rPr>
        <w:tab/>
        <w:t xml:space="preserve">Counsel for </w:t>
      </w:r>
      <w:r>
        <w:rPr>
          <w:rFonts w:ascii="Dark Courier" w:hAnsi="Dark Courier"/>
          <w:bCs/>
        </w:rPr>
        <w:t xml:space="preserve">the </w:t>
      </w:r>
      <w:r w:rsidRPr="006655AC">
        <w:rPr>
          <w:rFonts w:ascii="Dark Courier" w:hAnsi="Dark Courier"/>
          <w:bCs/>
        </w:rPr>
        <w:t>Commonwealth</w:t>
      </w:r>
    </w:p>
    <w:p w:rsidR="00200495" w:rsidRPr="006655AC" w:rsidRDefault="00200495" w:rsidP="00200495">
      <w:pPr>
        <w:rPr>
          <w:rFonts w:ascii="Dark Courier" w:hAnsi="Dark Courier"/>
          <w:bCs/>
        </w:rPr>
      </w:pPr>
      <w:r>
        <w:rPr>
          <w:rFonts w:ascii="Dark Courier" w:hAnsi="Dark Courier"/>
          <w:bCs/>
        </w:rPr>
        <w:t>David V. Lampman, II</w:t>
      </w:r>
      <w:r w:rsidRPr="006655AC">
        <w:rPr>
          <w:rFonts w:ascii="Dark Courier" w:hAnsi="Dark Courier"/>
          <w:bCs/>
        </w:rPr>
        <w:t>, Esquire</w:t>
      </w:r>
      <w:r w:rsidRPr="006655AC">
        <w:rPr>
          <w:rFonts w:ascii="Dark Courier" w:hAnsi="Dark Courier"/>
          <w:bCs/>
        </w:rPr>
        <w:tab/>
      </w:r>
      <w:r>
        <w:rPr>
          <w:rFonts w:ascii="Dark Courier" w:hAnsi="Dark Courier"/>
          <w:bCs/>
        </w:rPr>
        <w:tab/>
      </w:r>
      <w:r w:rsidRPr="006655AC">
        <w:rPr>
          <w:rFonts w:ascii="Dark Courier" w:hAnsi="Dark Courier"/>
          <w:bCs/>
        </w:rPr>
        <w:t xml:space="preserve">Counsel for </w:t>
      </w:r>
      <w:r>
        <w:rPr>
          <w:rFonts w:ascii="Dark Courier" w:hAnsi="Dark Courier"/>
          <w:bCs/>
        </w:rPr>
        <w:t xml:space="preserve">the </w:t>
      </w:r>
      <w:r w:rsidRPr="006655AC">
        <w:rPr>
          <w:rFonts w:ascii="Dark Courier" w:hAnsi="Dark Courier"/>
          <w:bCs/>
        </w:rPr>
        <w:t>Defendant</w:t>
      </w:r>
    </w:p>
    <w:p w:rsidR="000F6711" w:rsidRPr="000F6711" w:rsidRDefault="000F6711" w:rsidP="000F6711">
      <w:pPr>
        <w:pStyle w:val="BodyText"/>
        <w:ind w:right="12"/>
        <w:jc w:val="both"/>
        <w:rPr>
          <w:rFonts w:ascii="Dark Courier" w:hAnsi="Dark Courier"/>
          <w:b w:val="0"/>
          <w:u w:val="single"/>
        </w:rPr>
      </w:pPr>
    </w:p>
    <w:p w:rsidR="000F6711" w:rsidRPr="000F6711" w:rsidRDefault="000F6711" w:rsidP="000F6711">
      <w:pPr>
        <w:pStyle w:val="BodyText"/>
        <w:ind w:right="12"/>
        <w:jc w:val="center"/>
        <w:rPr>
          <w:rFonts w:ascii="Dark Courier" w:hAnsi="Dark Courier"/>
          <w:u w:val="single"/>
        </w:rPr>
      </w:pPr>
      <w:r w:rsidRPr="000F6711">
        <w:rPr>
          <w:rFonts w:ascii="Dark Courier" w:hAnsi="Dark Courier"/>
          <w:u w:val="single"/>
        </w:rPr>
        <w:t>ORDER OF COURT</w:t>
      </w:r>
    </w:p>
    <w:p w:rsidR="000F6711" w:rsidRPr="000F6711" w:rsidRDefault="000F6711" w:rsidP="000F6711">
      <w:pPr>
        <w:pStyle w:val="BodyText"/>
        <w:ind w:right="12"/>
        <w:rPr>
          <w:rFonts w:ascii="Dark Courier" w:hAnsi="Dark Courier"/>
          <w:b w:val="0"/>
        </w:rPr>
      </w:pPr>
    </w:p>
    <w:p w:rsidR="008D1CD2" w:rsidRDefault="00200495" w:rsidP="00200495">
      <w:pPr>
        <w:pStyle w:val="BodyText"/>
        <w:spacing w:line="480" w:lineRule="auto"/>
        <w:ind w:right="14" w:firstLine="720"/>
        <w:jc w:val="both"/>
        <w:rPr>
          <w:rFonts w:ascii="Dark Courier" w:hAnsi="Dark Courier"/>
          <w:b w:val="0"/>
        </w:rPr>
      </w:pPr>
      <w:r w:rsidRPr="00200495">
        <w:rPr>
          <w:rFonts w:ascii="Dark Courier" w:hAnsi="Dark Courier"/>
        </w:rPr>
        <w:t>AND NOW</w:t>
      </w:r>
      <w:r w:rsidRPr="00200495">
        <w:rPr>
          <w:rFonts w:ascii="Dark Courier" w:hAnsi="Dark Courier"/>
          <w:b w:val="0"/>
        </w:rPr>
        <w:t>,</w:t>
      </w:r>
      <w:r>
        <w:rPr>
          <w:rFonts w:ascii="Dark Courier" w:hAnsi="Dark Courier"/>
          <w:b w:val="0"/>
        </w:rPr>
        <w:t xml:space="preserve"> to wit,</w:t>
      </w:r>
      <w:r w:rsidRPr="00200495">
        <w:rPr>
          <w:rFonts w:ascii="Dark Courier" w:hAnsi="Dark Courier"/>
          <w:b w:val="0"/>
        </w:rPr>
        <w:t xml:space="preserve"> this </w:t>
      </w:r>
      <w:r w:rsidR="00B725C4">
        <w:rPr>
          <w:rFonts w:ascii="Dark Courier" w:hAnsi="Dark Courier"/>
          <w:b w:val="0"/>
        </w:rPr>
        <w:t>5</w:t>
      </w:r>
      <w:r w:rsidR="00B725C4" w:rsidRPr="00B725C4">
        <w:rPr>
          <w:rFonts w:ascii="Dark Courier" w:hAnsi="Dark Courier"/>
          <w:b w:val="0"/>
          <w:vertAlign w:val="superscript"/>
        </w:rPr>
        <w:t>th</w:t>
      </w:r>
      <w:r w:rsidRPr="00200495">
        <w:rPr>
          <w:rFonts w:ascii="Dark Courier" w:hAnsi="Dark Courier"/>
          <w:b w:val="0"/>
        </w:rPr>
        <w:t xml:space="preserve"> day of </w:t>
      </w:r>
      <w:r w:rsidR="008D1CD2">
        <w:rPr>
          <w:rFonts w:ascii="Dark Courier" w:hAnsi="Dark Courier"/>
          <w:b w:val="0"/>
        </w:rPr>
        <w:t>April</w:t>
      </w:r>
      <w:r>
        <w:rPr>
          <w:rFonts w:ascii="Dark Courier" w:hAnsi="Dark Courier"/>
          <w:b w:val="0"/>
        </w:rPr>
        <w:t>, 2012</w:t>
      </w:r>
      <w:r w:rsidRPr="00200495">
        <w:rPr>
          <w:rFonts w:ascii="Dark Courier" w:hAnsi="Dark Courier"/>
          <w:b w:val="0"/>
        </w:rPr>
        <w:t xml:space="preserve">, upon consideration of the Defendant’s </w:t>
      </w:r>
      <w:r>
        <w:rPr>
          <w:rFonts w:ascii="Dark Courier" w:hAnsi="Dark Courier"/>
          <w:b w:val="0"/>
        </w:rPr>
        <w:t xml:space="preserve">“Amended </w:t>
      </w:r>
      <w:r w:rsidRPr="00200495">
        <w:rPr>
          <w:rFonts w:ascii="Dark Courier" w:hAnsi="Dark Courier"/>
          <w:b w:val="0"/>
        </w:rPr>
        <w:t>Omnibus Pretrial Motion,</w:t>
      </w:r>
      <w:r>
        <w:rPr>
          <w:rFonts w:ascii="Dark Courier" w:hAnsi="Dark Courier"/>
          <w:b w:val="0"/>
        </w:rPr>
        <w:t>”</w:t>
      </w:r>
      <w:r w:rsidRPr="00200495">
        <w:rPr>
          <w:rFonts w:ascii="Dark Courier" w:hAnsi="Dark Courier"/>
          <w:b w:val="0"/>
        </w:rPr>
        <w:t xml:space="preserve"> </w:t>
      </w:r>
      <w:r>
        <w:rPr>
          <w:rFonts w:ascii="Dark Courier" w:hAnsi="Dark Courier"/>
          <w:b w:val="0"/>
        </w:rPr>
        <w:t xml:space="preserve">the briefs of counsel, </w:t>
      </w:r>
      <w:r w:rsidRPr="00200495">
        <w:rPr>
          <w:rFonts w:ascii="Dark Courier" w:hAnsi="Dark Courier"/>
          <w:b w:val="0"/>
        </w:rPr>
        <w:t>and after a hearing thereon</w:t>
      </w:r>
      <w:r>
        <w:rPr>
          <w:rFonts w:ascii="Dark Courier" w:hAnsi="Dark Courier"/>
          <w:b w:val="0"/>
        </w:rPr>
        <w:t>,</w:t>
      </w:r>
      <w:r w:rsidRPr="00200495">
        <w:rPr>
          <w:rFonts w:ascii="Dark Courier" w:hAnsi="Dark Courier"/>
          <w:b w:val="0"/>
        </w:rPr>
        <w:t xml:space="preserve"> and in accordance with our Memorandum Opinion of this same date, it is hereby</w:t>
      </w:r>
      <w:r>
        <w:rPr>
          <w:rFonts w:ascii="Dark Courier" w:hAnsi="Dark Courier"/>
          <w:b w:val="0"/>
        </w:rPr>
        <w:t xml:space="preserve"> </w:t>
      </w:r>
      <w:r w:rsidRPr="00200495">
        <w:rPr>
          <w:rFonts w:ascii="Dark Courier" w:hAnsi="Dark Courier"/>
        </w:rPr>
        <w:t>ORDERED and DECREED</w:t>
      </w:r>
      <w:r w:rsidRPr="00200495">
        <w:rPr>
          <w:rFonts w:ascii="Dark Courier" w:hAnsi="Dark Courier"/>
          <w:b w:val="0"/>
        </w:rPr>
        <w:t xml:space="preserve"> </w:t>
      </w:r>
      <w:r w:rsidR="008D1CD2">
        <w:rPr>
          <w:rFonts w:ascii="Dark Courier" w:hAnsi="Dark Courier"/>
          <w:b w:val="0"/>
        </w:rPr>
        <w:t xml:space="preserve">as follows: </w:t>
      </w:r>
    </w:p>
    <w:p w:rsidR="008D1CD2" w:rsidRDefault="008D1CD2" w:rsidP="008D1CD2">
      <w:pPr>
        <w:pStyle w:val="BodyText"/>
        <w:numPr>
          <w:ilvl w:val="0"/>
          <w:numId w:val="5"/>
        </w:numPr>
        <w:spacing w:line="480" w:lineRule="auto"/>
        <w:ind w:right="14"/>
        <w:jc w:val="both"/>
        <w:rPr>
          <w:rFonts w:ascii="Dark Courier" w:hAnsi="Dark Courier"/>
          <w:b w:val="0"/>
        </w:rPr>
      </w:pPr>
      <w:r>
        <w:rPr>
          <w:rFonts w:ascii="Dark Courier" w:hAnsi="Dark Courier"/>
          <w:b w:val="0"/>
        </w:rPr>
        <w:t>The Defendant’s “Motion to Suppress</w:t>
      </w:r>
      <w:r w:rsidRPr="00200495">
        <w:rPr>
          <w:rFonts w:ascii="Dark Courier" w:hAnsi="Dark Courier"/>
          <w:b w:val="0"/>
        </w:rPr>
        <w:t xml:space="preserve"> </w:t>
      </w:r>
      <w:r>
        <w:rPr>
          <w:rFonts w:ascii="Dark Courier" w:hAnsi="Dark Courier"/>
          <w:b w:val="0"/>
        </w:rPr>
        <w:t xml:space="preserve">Pursuant to Pa. R. Crim. P. 203(b)” </w:t>
      </w:r>
      <w:r w:rsidRPr="00200495">
        <w:rPr>
          <w:rFonts w:ascii="Dark Courier" w:hAnsi="Dark Courier"/>
          <w:b w:val="0"/>
        </w:rPr>
        <w:t xml:space="preserve">is </w:t>
      </w:r>
      <w:r>
        <w:rPr>
          <w:rFonts w:ascii="Dark Courier" w:hAnsi="Dark Courier"/>
        </w:rPr>
        <w:t>DENIED</w:t>
      </w:r>
      <w:r>
        <w:rPr>
          <w:rFonts w:ascii="Dark Courier" w:hAnsi="Dark Courier"/>
          <w:b w:val="0"/>
        </w:rPr>
        <w:t>;</w:t>
      </w:r>
    </w:p>
    <w:p w:rsidR="00746D2A" w:rsidRDefault="00746D2A" w:rsidP="00746D2A">
      <w:pPr>
        <w:pStyle w:val="BodyText"/>
        <w:numPr>
          <w:ilvl w:val="0"/>
          <w:numId w:val="5"/>
        </w:numPr>
        <w:spacing w:line="480" w:lineRule="auto"/>
        <w:ind w:right="14"/>
        <w:jc w:val="both"/>
        <w:rPr>
          <w:rFonts w:ascii="Dark Courier" w:hAnsi="Dark Courier"/>
          <w:b w:val="0"/>
        </w:rPr>
      </w:pPr>
      <w:r>
        <w:rPr>
          <w:rFonts w:ascii="Dark Courier" w:hAnsi="Dark Courier"/>
          <w:b w:val="0"/>
        </w:rPr>
        <w:t xml:space="preserve">The Defendant’s “Motion to Modify Bail” is </w:t>
      </w:r>
      <w:r w:rsidRPr="00746D2A">
        <w:rPr>
          <w:rFonts w:ascii="Dark Courier" w:hAnsi="Dark Courier"/>
        </w:rPr>
        <w:t>DENIED</w:t>
      </w:r>
      <w:r>
        <w:rPr>
          <w:rFonts w:ascii="Dark Courier" w:hAnsi="Dark Courier"/>
          <w:b w:val="0"/>
        </w:rPr>
        <w:t>;</w:t>
      </w:r>
    </w:p>
    <w:p w:rsidR="00746D2A" w:rsidRDefault="00746D2A" w:rsidP="00746D2A">
      <w:pPr>
        <w:pStyle w:val="BodyText"/>
        <w:numPr>
          <w:ilvl w:val="0"/>
          <w:numId w:val="5"/>
        </w:numPr>
        <w:spacing w:line="480" w:lineRule="auto"/>
        <w:ind w:right="14"/>
        <w:jc w:val="both"/>
        <w:rPr>
          <w:rFonts w:ascii="Dark Courier" w:hAnsi="Dark Courier"/>
          <w:b w:val="0"/>
        </w:rPr>
      </w:pPr>
      <w:r>
        <w:rPr>
          <w:rFonts w:ascii="Dark Courier" w:hAnsi="Dark Courier"/>
          <w:b w:val="0"/>
        </w:rPr>
        <w:t xml:space="preserve">The Defendant’s “Motion to Remand for Preliminary Hearing” is </w:t>
      </w:r>
      <w:r w:rsidRPr="00746D2A">
        <w:rPr>
          <w:rFonts w:ascii="Dark Courier" w:hAnsi="Dark Courier"/>
        </w:rPr>
        <w:t>DENIED</w:t>
      </w:r>
      <w:r>
        <w:rPr>
          <w:rFonts w:ascii="Dark Courier" w:hAnsi="Dark Courier"/>
          <w:b w:val="0"/>
        </w:rPr>
        <w:t>;</w:t>
      </w:r>
    </w:p>
    <w:p w:rsidR="00746D2A" w:rsidRPr="00200495" w:rsidRDefault="00746D2A" w:rsidP="00746D2A">
      <w:pPr>
        <w:pStyle w:val="BodyText"/>
        <w:numPr>
          <w:ilvl w:val="0"/>
          <w:numId w:val="5"/>
        </w:numPr>
        <w:spacing w:line="480" w:lineRule="auto"/>
        <w:ind w:right="14"/>
        <w:jc w:val="both"/>
        <w:rPr>
          <w:rFonts w:ascii="Dark Courier" w:hAnsi="Dark Courier"/>
          <w:b w:val="0"/>
        </w:rPr>
      </w:pPr>
      <w:r>
        <w:rPr>
          <w:rFonts w:ascii="Dark Courier" w:hAnsi="Dark Courier"/>
          <w:b w:val="0"/>
        </w:rPr>
        <w:t xml:space="preserve">The Defendant’s “Motion to Suppress Pursuant to Pa. R. Crim. P. 208 &amp; 209” is </w:t>
      </w:r>
      <w:r w:rsidRPr="00746D2A">
        <w:rPr>
          <w:rFonts w:ascii="Dark Courier" w:hAnsi="Dark Courier"/>
        </w:rPr>
        <w:t>DENIED</w:t>
      </w:r>
      <w:r>
        <w:rPr>
          <w:rFonts w:ascii="Dark Courier" w:hAnsi="Dark Courier"/>
          <w:b w:val="0"/>
        </w:rPr>
        <w:t>;</w:t>
      </w:r>
    </w:p>
    <w:p w:rsidR="00746D2A" w:rsidRPr="00200495" w:rsidRDefault="00746D2A" w:rsidP="00746D2A">
      <w:pPr>
        <w:pStyle w:val="BodyText"/>
        <w:numPr>
          <w:ilvl w:val="0"/>
          <w:numId w:val="5"/>
        </w:numPr>
        <w:spacing w:line="480" w:lineRule="auto"/>
        <w:ind w:right="14"/>
        <w:jc w:val="both"/>
        <w:rPr>
          <w:rFonts w:ascii="Dark Courier" w:hAnsi="Dark Courier"/>
          <w:b w:val="0"/>
        </w:rPr>
      </w:pPr>
      <w:r>
        <w:rPr>
          <w:rFonts w:ascii="Dark Courier" w:hAnsi="Dark Courier"/>
          <w:b w:val="0"/>
        </w:rPr>
        <w:t xml:space="preserve">The Defendant’s “Motion to Suppress Any Oral or Written Statements Allegedly Made by Defendant on or about July 6, 2011” is </w:t>
      </w:r>
      <w:r w:rsidRPr="00746D2A">
        <w:rPr>
          <w:rFonts w:ascii="Dark Courier" w:hAnsi="Dark Courier"/>
        </w:rPr>
        <w:t>D</w:t>
      </w:r>
      <w:r>
        <w:rPr>
          <w:rFonts w:ascii="Dark Courier" w:hAnsi="Dark Courier"/>
        </w:rPr>
        <w:t xml:space="preserve">ISMISSED </w:t>
      </w:r>
      <w:r>
        <w:rPr>
          <w:rFonts w:ascii="Dark Courier" w:hAnsi="Dark Courier"/>
          <w:b w:val="0"/>
        </w:rPr>
        <w:t>as moot;</w:t>
      </w:r>
    </w:p>
    <w:p w:rsidR="00746D2A" w:rsidRPr="00200495" w:rsidRDefault="00746D2A" w:rsidP="00746D2A">
      <w:pPr>
        <w:pStyle w:val="BodyText"/>
        <w:numPr>
          <w:ilvl w:val="0"/>
          <w:numId w:val="5"/>
        </w:numPr>
        <w:spacing w:line="480" w:lineRule="auto"/>
        <w:ind w:right="14"/>
        <w:jc w:val="both"/>
        <w:rPr>
          <w:rFonts w:ascii="Dark Courier" w:hAnsi="Dark Courier"/>
          <w:b w:val="0"/>
        </w:rPr>
      </w:pPr>
      <w:r>
        <w:rPr>
          <w:rFonts w:ascii="Dark Courier" w:hAnsi="Dark Courier"/>
          <w:b w:val="0"/>
        </w:rPr>
        <w:lastRenderedPageBreak/>
        <w:t xml:space="preserve">The Defendant’s “Motion to Preclude Evidence of Alleged Prior Bad Acts, Wrongs or Crimes Pursuant to Pa. R.E. 404(b)” is </w:t>
      </w:r>
      <w:r w:rsidRPr="00746D2A">
        <w:rPr>
          <w:rFonts w:ascii="Dark Courier" w:hAnsi="Dark Courier"/>
        </w:rPr>
        <w:t>D</w:t>
      </w:r>
      <w:r>
        <w:rPr>
          <w:rFonts w:ascii="Dark Courier" w:hAnsi="Dark Courier"/>
        </w:rPr>
        <w:t xml:space="preserve">EFERRED </w:t>
      </w:r>
      <w:r>
        <w:rPr>
          <w:rFonts w:ascii="Dark Courier" w:hAnsi="Dark Courier"/>
          <w:b w:val="0"/>
        </w:rPr>
        <w:t>until the time of trial;</w:t>
      </w:r>
      <w:r w:rsidR="004B1B28">
        <w:rPr>
          <w:rFonts w:ascii="Dark Courier" w:hAnsi="Dark Courier"/>
          <w:b w:val="0"/>
        </w:rPr>
        <w:t xml:space="preserve"> </w:t>
      </w:r>
    </w:p>
    <w:p w:rsidR="004B1B28" w:rsidRDefault="004B1B28" w:rsidP="004B1B28">
      <w:pPr>
        <w:pStyle w:val="BodyText"/>
        <w:numPr>
          <w:ilvl w:val="0"/>
          <w:numId w:val="5"/>
        </w:numPr>
        <w:spacing w:line="480" w:lineRule="auto"/>
        <w:ind w:right="14"/>
        <w:jc w:val="both"/>
        <w:rPr>
          <w:rFonts w:ascii="Dark Courier" w:hAnsi="Dark Courier"/>
          <w:b w:val="0"/>
        </w:rPr>
      </w:pPr>
      <w:r>
        <w:rPr>
          <w:rFonts w:ascii="Dark Courier" w:hAnsi="Dark Courier"/>
          <w:b w:val="0"/>
        </w:rPr>
        <w:t xml:space="preserve">The Defendant’s “Motion to Compel Discovery” is </w:t>
      </w:r>
      <w:r w:rsidRPr="00746D2A">
        <w:rPr>
          <w:rFonts w:ascii="Dark Courier" w:hAnsi="Dark Courier"/>
        </w:rPr>
        <w:t>D</w:t>
      </w:r>
      <w:r>
        <w:rPr>
          <w:rFonts w:ascii="Dark Courier" w:hAnsi="Dark Courier"/>
        </w:rPr>
        <w:t xml:space="preserve">ISMISSED </w:t>
      </w:r>
      <w:r>
        <w:rPr>
          <w:rFonts w:ascii="Dark Courier" w:hAnsi="Dark Courier"/>
          <w:b w:val="0"/>
        </w:rPr>
        <w:t>as moot; and</w:t>
      </w:r>
    </w:p>
    <w:p w:rsidR="004B1B28" w:rsidRPr="00200495" w:rsidRDefault="004B1B28" w:rsidP="004B1B28">
      <w:pPr>
        <w:pStyle w:val="BodyText"/>
        <w:numPr>
          <w:ilvl w:val="0"/>
          <w:numId w:val="5"/>
        </w:numPr>
        <w:spacing w:line="480" w:lineRule="auto"/>
        <w:ind w:right="14"/>
        <w:jc w:val="both"/>
        <w:rPr>
          <w:rFonts w:ascii="Dark Courier" w:hAnsi="Dark Courier"/>
          <w:b w:val="0"/>
        </w:rPr>
      </w:pPr>
      <w:r>
        <w:rPr>
          <w:rFonts w:ascii="Dark Courier" w:hAnsi="Dark Courier"/>
          <w:b w:val="0"/>
        </w:rPr>
        <w:t xml:space="preserve">The Defendant shall be permitted to file additional Motions in Limine, following receipt of the Commonwealth’s complete discovery submissions, </w:t>
      </w:r>
      <w:r w:rsidR="007024B1">
        <w:rPr>
          <w:rFonts w:ascii="Dark Courier" w:hAnsi="Dark Courier"/>
          <w:b w:val="0"/>
        </w:rPr>
        <w:t xml:space="preserve">no later than seven (7) days </w:t>
      </w:r>
      <w:r>
        <w:rPr>
          <w:rFonts w:ascii="Dark Courier" w:hAnsi="Dark Courier"/>
          <w:b w:val="0"/>
        </w:rPr>
        <w:t xml:space="preserve">prior to the </w:t>
      </w:r>
      <w:r w:rsidR="007024B1">
        <w:rPr>
          <w:rFonts w:ascii="Dark Courier" w:hAnsi="Dark Courier"/>
          <w:b w:val="0"/>
        </w:rPr>
        <w:t>commencement</w:t>
      </w:r>
      <w:r>
        <w:rPr>
          <w:rFonts w:ascii="Dark Courier" w:hAnsi="Dark Courier"/>
          <w:b w:val="0"/>
        </w:rPr>
        <w:t xml:space="preserve"> of trial</w:t>
      </w:r>
      <w:r w:rsidR="007024B1">
        <w:rPr>
          <w:rFonts w:ascii="Dark Courier" w:hAnsi="Dark Courier"/>
          <w:b w:val="0"/>
        </w:rPr>
        <w:t xml:space="preserve"> in this matter</w:t>
      </w:r>
      <w:r>
        <w:rPr>
          <w:rFonts w:ascii="Dark Courier" w:hAnsi="Dark Courier"/>
          <w:b w:val="0"/>
        </w:rPr>
        <w:t>.</w:t>
      </w:r>
    </w:p>
    <w:p w:rsidR="000F6711" w:rsidRPr="000F6711" w:rsidRDefault="000F6711" w:rsidP="000F6711">
      <w:pPr>
        <w:pStyle w:val="BodyText"/>
        <w:ind w:right="12"/>
        <w:rPr>
          <w:rFonts w:ascii="Dark Courier" w:hAnsi="Dark Courier"/>
          <w:b w:val="0"/>
        </w:rPr>
      </w:pPr>
    </w:p>
    <w:p w:rsidR="007A323D" w:rsidRPr="006655AC" w:rsidRDefault="007A323D" w:rsidP="007A323D">
      <w:pPr>
        <w:pStyle w:val="BodyText"/>
        <w:ind w:left="4320" w:right="12" w:firstLine="720"/>
        <w:jc w:val="both"/>
        <w:rPr>
          <w:rFonts w:ascii="Dark Courier" w:hAnsi="Dark Courier"/>
        </w:rPr>
      </w:pPr>
      <w:r w:rsidRPr="006655AC">
        <w:rPr>
          <w:rFonts w:ascii="Dark Courier" w:hAnsi="Dark Courier"/>
        </w:rPr>
        <w:t>BY THE COURT:</w:t>
      </w:r>
    </w:p>
    <w:p w:rsidR="007A323D" w:rsidRPr="006655AC" w:rsidRDefault="007A323D" w:rsidP="007A323D">
      <w:pPr>
        <w:pStyle w:val="BodyText"/>
        <w:ind w:right="12"/>
        <w:jc w:val="both"/>
        <w:rPr>
          <w:rFonts w:ascii="Dark Courier" w:hAnsi="Dark Courier"/>
        </w:rPr>
      </w:pPr>
    </w:p>
    <w:p w:rsidR="007A323D" w:rsidRPr="006655AC" w:rsidRDefault="007A323D" w:rsidP="007A323D">
      <w:pPr>
        <w:pStyle w:val="BodyText"/>
        <w:ind w:right="12"/>
        <w:jc w:val="both"/>
        <w:rPr>
          <w:rFonts w:ascii="Dark Courier" w:hAnsi="Dark Courier"/>
        </w:rPr>
      </w:pPr>
    </w:p>
    <w:p w:rsidR="007A323D" w:rsidRDefault="007A323D" w:rsidP="007A323D">
      <w:pPr>
        <w:pStyle w:val="BodyText"/>
        <w:ind w:right="12"/>
        <w:jc w:val="both"/>
        <w:rPr>
          <w:rFonts w:ascii="Dark Courier" w:hAnsi="Dark Courier"/>
        </w:rPr>
      </w:pPr>
      <w:r w:rsidRPr="006655AC">
        <w:rPr>
          <w:rFonts w:ascii="Dark Courier" w:hAnsi="Dark Courier"/>
        </w:rPr>
        <w:tab/>
      </w:r>
      <w:r w:rsidRPr="006655AC">
        <w:rPr>
          <w:rFonts w:ascii="Dark Courier" w:hAnsi="Dark Courier"/>
        </w:rPr>
        <w:tab/>
      </w:r>
      <w:r w:rsidRPr="006655AC">
        <w:rPr>
          <w:rFonts w:ascii="Dark Courier" w:hAnsi="Dark Courier"/>
        </w:rPr>
        <w:tab/>
      </w:r>
      <w:r w:rsidRPr="006655AC">
        <w:rPr>
          <w:rFonts w:ascii="Dark Courier" w:hAnsi="Dark Courier"/>
        </w:rPr>
        <w:tab/>
      </w:r>
      <w:r w:rsidRPr="006655AC">
        <w:rPr>
          <w:rFonts w:ascii="Dark Courier" w:hAnsi="Dark Courier"/>
        </w:rPr>
        <w:tab/>
      </w:r>
      <w:r w:rsidRPr="006655AC">
        <w:rPr>
          <w:rFonts w:ascii="Dark Courier" w:hAnsi="Dark Courier"/>
        </w:rPr>
        <w:tab/>
      </w:r>
      <w:r w:rsidRPr="006655AC">
        <w:rPr>
          <w:rFonts w:ascii="Dark Courier" w:hAnsi="Dark Courier"/>
        </w:rPr>
        <w:tab/>
      </w:r>
      <w:proofErr w:type="gramStart"/>
      <w:r w:rsidRPr="006655AC">
        <w:rPr>
          <w:rFonts w:ascii="Dark Courier" w:hAnsi="Dark Courier"/>
        </w:rPr>
        <w:t>_____________________________</w:t>
      </w:r>
      <w:r w:rsidRPr="006655AC">
        <w:rPr>
          <w:rFonts w:ascii="Dark Courier" w:hAnsi="Dark Courier"/>
        </w:rPr>
        <w:tab/>
      </w:r>
      <w:r w:rsidRPr="006655AC">
        <w:rPr>
          <w:rFonts w:ascii="Dark Courier" w:hAnsi="Dark Courier"/>
        </w:rPr>
        <w:tab/>
      </w:r>
      <w:r w:rsidRPr="006655AC">
        <w:rPr>
          <w:rFonts w:ascii="Dark Courier" w:hAnsi="Dark Courier"/>
        </w:rPr>
        <w:tab/>
      </w:r>
      <w:r w:rsidRPr="006655AC">
        <w:rPr>
          <w:rFonts w:ascii="Dark Courier" w:hAnsi="Dark Courier"/>
        </w:rPr>
        <w:tab/>
      </w:r>
      <w:r w:rsidRPr="006655AC">
        <w:rPr>
          <w:rFonts w:ascii="Dark Courier" w:hAnsi="Dark Courier"/>
        </w:rPr>
        <w:tab/>
      </w:r>
      <w:r w:rsidRPr="006655AC">
        <w:rPr>
          <w:rFonts w:ascii="Dark Courier" w:hAnsi="Dark Courier"/>
        </w:rPr>
        <w:tab/>
      </w:r>
      <w:r w:rsidRPr="006655AC">
        <w:rPr>
          <w:rFonts w:ascii="Dark Courier" w:hAnsi="Dark Courier"/>
        </w:rPr>
        <w:tab/>
        <w:t>Steven R. Serfass, J.</w:t>
      </w:r>
      <w:proofErr w:type="gramEnd"/>
    </w:p>
    <w:p w:rsidR="000F6711" w:rsidRPr="000F6711" w:rsidRDefault="000F6711">
      <w:pPr>
        <w:pStyle w:val="BodyText"/>
        <w:ind w:right="12"/>
        <w:jc w:val="both"/>
        <w:rPr>
          <w:rFonts w:ascii="Dark Courier" w:hAnsi="Dark Courier"/>
          <w:b w:val="0"/>
        </w:rPr>
      </w:pPr>
    </w:p>
    <w:sectPr w:rsidR="000F6711" w:rsidRPr="000F6711" w:rsidSect="00EC55C5">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42A" w:rsidRDefault="0059742A">
      <w:r>
        <w:separator/>
      </w:r>
    </w:p>
  </w:endnote>
  <w:endnote w:type="continuationSeparator" w:id="0">
    <w:p w:rsidR="0059742A" w:rsidRDefault="005974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rk Courier">
    <w:panose1 w:val="02070409020205020404"/>
    <w:charset w:val="00"/>
    <w:family w:val="modern"/>
    <w:pitch w:val="fixed"/>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42A" w:rsidRPr="006655AC" w:rsidRDefault="0059742A">
    <w:pPr>
      <w:pStyle w:val="Footer"/>
      <w:jc w:val="center"/>
      <w:rPr>
        <w:rStyle w:val="PageNumber"/>
        <w:rFonts w:ascii="Dark Courier" w:hAnsi="Dark Courier"/>
        <w:bCs/>
      </w:rPr>
    </w:pPr>
    <w:r w:rsidRPr="006655AC">
      <w:rPr>
        <w:rStyle w:val="PageNumber"/>
        <w:rFonts w:ascii="Dark Courier" w:hAnsi="Dark Courier"/>
        <w:bCs/>
      </w:rPr>
      <w:t>[FS-</w:t>
    </w:r>
    <w:r>
      <w:rPr>
        <w:rStyle w:val="PageNumber"/>
        <w:rFonts w:ascii="Dark Courier" w:hAnsi="Dark Courier"/>
        <w:bCs/>
      </w:rPr>
      <w:t>12-12</w:t>
    </w:r>
    <w:r w:rsidRPr="006655AC">
      <w:rPr>
        <w:rStyle w:val="PageNumber"/>
        <w:rFonts w:ascii="Dark Courier" w:hAnsi="Dark Courier"/>
        <w:bCs/>
      </w:rPr>
      <w:t>]</w:t>
    </w:r>
  </w:p>
  <w:p w:rsidR="0059742A" w:rsidRPr="006655AC" w:rsidRDefault="00906C14">
    <w:pPr>
      <w:pStyle w:val="Footer"/>
      <w:jc w:val="center"/>
      <w:rPr>
        <w:rFonts w:ascii="Dark Courier" w:hAnsi="Dark Courier"/>
        <w:bCs/>
      </w:rPr>
    </w:pPr>
    <w:r w:rsidRPr="006655AC">
      <w:rPr>
        <w:rStyle w:val="PageNumber"/>
        <w:rFonts w:ascii="Dark Courier" w:hAnsi="Dark Courier"/>
        <w:bCs/>
      </w:rPr>
      <w:fldChar w:fldCharType="begin"/>
    </w:r>
    <w:r w:rsidR="0059742A" w:rsidRPr="006655AC">
      <w:rPr>
        <w:rStyle w:val="PageNumber"/>
        <w:rFonts w:ascii="Dark Courier" w:hAnsi="Dark Courier"/>
        <w:bCs/>
      </w:rPr>
      <w:instrText xml:space="preserve"> PAGE </w:instrText>
    </w:r>
    <w:r w:rsidRPr="006655AC">
      <w:rPr>
        <w:rStyle w:val="PageNumber"/>
        <w:rFonts w:ascii="Dark Courier" w:hAnsi="Dark Courier"/>
        <w:bCs/>
      </w:rPr>
      <w:fldChar w:fldCharType="separate"/>
    </w:r>
    <w:r w:rsidR="008C584A">
      <w:rPr>
        <w:rStyle w:val="PageNumber"/>
        <w:rFonts w:ascii="Dark Courier" w:hAnsi="Dark Courier"/>
        <w:bCs/>
        <w:noProof/>
      </w:rPr>
      <w:t>1</w:t>
    </w:r>
    <w:r w:rsidRPr="006655AC">
      <w:rPr>
        <w:rStyle w:val="PageNumber"/>
        <w:rFonts w:ascii="Dark Courier" w:hAnsi="Dark Courier"/>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42A" w:rsidRPr="000F6711" w:rsidRDefault="0059742A" w:rsidP="000F67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42A" w:rsidRDefault="0059742A">
      <w:r>
        <w:separator/>
      </w:r>
    </w:p>
  </w:footnote>
  <w:footnote w:type="continuationSeparator" w:id="0">
    <w:p w:rsidR="0059742A" w:rsidRDefault="0059742A">
      <w:r>
        <w:continuationSeparator/>
      </w:r>
    </w:p>
  </w:footnote>
  <w:footnote w:id="1">
    <w:p w:rsidR="0059742A" w:rsidRPr="0051374A" w:rsidRDefault="0059742A" w:rsidP="00D72407">
      <w:pPr>
        <w:pStyle w:val="FootnoteText"/>
        <w:jc w:val="both"/>
        <w:rPr>
          <w:rFonts w:ascii="Dark Courier" w:hAnsi="Dark Courier"/>
        </w:rPr>
      </w:pPr>
      <w:r w:rsidRPr="0051374A">
        <w:rPr>
          <w:rStyle w:val="FootnoteReference"/>
          <w:rFonts w:ascii="Dark Courier" w:hAnsi="Dark Courier"/>
        </w:rPr>
        <w:footnoteRef/>
      </w:r>
      <w:r w:rsidRPr="0051374A">
        <w:rPr>
          <w:rFonts w:ascii="Dark Courier" w:hAnsi="Dark Courier"/>
        </w:rPr>
        <w:t xml:space="preserve"> </w:t>
      </w:r>
      <w:r>
        <w:rPr>
          <w:rFonts w:ascii="Dark Courier" w:hAnsi="Dark Courier"/>
        </w:rPr>
        <w:t>18 Pa. C.S.A. §§ 2702(a</w:t>
      </w:r>
      <w:proofErr w:type="gramStart"/>
      <w:r>
        <w:rPr>
          <w:rFonts w:ascii="Dark Courier" w:hAnsi="Dark Courier"/>
        </w:rPr>
        <w:t>)(</w:t>
      </w:r>
      <w:proofErr w:type="gramEnd"/>
      <w:r>
        <w:rPr>
          <w:rFonts w:ascii="Dark Courier" w:hAnsi="Dark Courier"/>
        </w:rPr>
        <w:t>1), 2702(a)(4), 903(a)(1), 2705, 2707.1(a), and 907(a), respectively.</w:t>
      </w:r>
    </w:p>
  </w:footnote>
  <w:footnote w:id="2">
    <w:p w:rsidR="002448FD" w:rsidRPr="002E0FB7" w:rsidRDefault="002448FD" w:rsidP="002448FD">
      <w:pPr>
        <w:pStyle w:val="FootnoteText"/>
        <w:jc w:val="both"/>
        <w:rPr>
          <w:rFonts w:ascii="Dark Courier" w:hAnsi="Dark Courier"/>
        </w:rPr>
      </w:pPr>
      <w:r w:rsidRPr="002E0FB7">
        <w:rPr>
          <w:rStyle w:val="FootnoteReference"/>
          <w:rFonts w:ascii="Dark Courier" w:hAnsi="Dark Courier"/>
        </w:rPr>
        <w:footnoteRef/>
      </w:r>
      <w:r w:rsidRPr="002E0FB7">
        <w:rPr>
          <w:rFonts w:ascii="Dark Courier" w:hAnsi="Dark Courier"/>
        </w:rPr>
        <w:t xml:space="preserve"> </w:t>
      </w:r>
      <w:r>
        <w:rPr>
          <w:rFonts w:ascii="Dark Courier" w:hAnsi="Dark Courier"/>
        </w:rPr>
        <w:t xml:space="preserve">Per the agreement of counsel, the Defendant’s “Motion to </w:t>
      </w:r>
      <w:proofErr w:type="gramStart"/>
      <w:r>
        <w:rPr>
          <w:rFonts w:ascii="Dark Courier" w:hAnsi="Dark Courier"/>
        </w:rPr>
        <w:t>Suppress</w:t>
      </w:r>
      <w:proofErr w:type="gramEnd"/>
      <w:r>
        <w:rPr>
          <w:rFonts w:ascii="Dark Courier" w:hAnsi="Dark Courier"/>
        </w:rPr>
        <w:t xml:space="preserve"> any Oral or Written Statements Allegedly Made by Defendant on or about July 6, 2011,” and “Motion to Compel Discovery” are moot. Therefore, we need not address them in this Memorandum Opinion. Additionally, we need not address the Defendant’s “Motion to Preclude Evidence of Alleged Prior Bad Acts, Wrongs or Crimes Pursuant to Pa. R.E. 404(b),” since the disposition of the same will be deferred to the time of trial.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9234E"/>
    <w:multiLevelType w:val="hybridMultilevel"/>
    <w:tmpl w:val="14B48338"/>
    <w:lvl w:ilvl="0" w:tplc="68329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7934256"/>
    <w:multiLevelType w:val="hybridMultilevel"/>
    <w:tmpl w:val="6B1CA6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F108B8"/>
    <w:multiLevelType w:val="hybridMultilevel"/>
    <w:tmpl w:val="BC106AAE"/>
    <w:lvl w:ilvl="0" w:tplc="9C0E6A84">
      <w:start w:val="1"/>
      <w:numFmt w:val="upperLetter"/>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82384A"/>
    <w:multiLevelType w:val="hybridMultilevel"/>
    <w:tmpl w:val="008E8172"/>
    <w:lvl w:ilvl="0" w:tplc="F2F41A5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A7345A6"/>
    <w:multiLevelType w:val="hybridMultilevel"/>
    <w:tmpl w:val="F1BA28A2"/>
    <w:lvl w:ilvl="0" w:tplc="EDF4739E">
      <w:start w:val="1"/>
      <w:numFmt w:val="upperLetter"/>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17BC"/>
    <w:rsid w:val="00005DD0"/>
    <w:rsid w:val="00025488"/>
    <w:rsid w:val="00027342"/>
    <w:rsid w:val="00056A4B"/>
    <w:rsid w:val="000B3957"/>
    <w:rsid w:val="000C008C"/>
    <w:rsid w:val="000D4265"/>
    <w:rsid w:val="000F4134"/>
    <w:rsid w:val="000F6711"/>
    <w:rsid w:val="00120D21"/>
    <w:rsid w:val="00150895"/>
    <w:rsid w:val="00167940"/>
    <w:rsid w:val="0018395A"/>
    <w:rsid w:val="001A1273"/>
    <w:rsid w:val="001C72CD"/>
    <w:rsid w:val="001F3CF0"/>
    <w:rsid w:val="001F5CA0"/>
    <w:rsid w:val="00200495"/>
    <w:rsid w:val="00240F9D"/>
    <w:rsid w:val="002448FD"/>
    <w:rsid w:val="00257556"/>
    <w:rsid w:val="00273F20"/>
    <w:rsid w:val="00284515"/>
    <w:rsid w:val="002B5D15"/>
    <w:rsid w:val="002E0FB7"/>
    <w:rsid w:val="002E2829"/>
    <w:rsid w:val="0030332D"/>
    <w:rsid w:val="003411CA"/>
    <w:rsid w:val="00353F5F"/>
    <w:rsid w:val="00396E3C"/>
    <w:rsid w:val="003B507E"/>
    <w:rsid w:val="003D2B98"/>
    <w:rsid w:val="003F256D"/>
    <w:rsid w:val="003F3C3C"/>
    <w:rsid w:val="00443DFB"/>
    <w:rsid w:val="00450047"/>
    <w:rsid w:val="004761A0"/>
    <w:rsid w:val="00477FC2"/>
    <w:rsid w:val="004867BB"/>
    <w:rsid w:val="004A7B2E"/>
    <w:rsid w:val="004B1B28"/>
    <w:rsid w:val="004E0A31"/>
    <w:rsid w:val="004F650A"/>
    <w:rsid w:val="00503274"/>
    <w:rsid w:val="005063C8"/>
    <w:rsid w:val="0051374A"/>
    <w:rsid w:val="00522152"/>
    <w:rsid w:val="00523EBE"/>
    <w:rsid w:val="00572654"/>
    <w:rsid w:val="0058216F"/>
    <w:rsid w:val="0059742A"/>
    <w:rsid w:val="005A54B0"/>
    <w:rsid w:val="005F3D25"/>
    <w:rsid w:val="00606D26"/>
    <w:rsid w:val="00607718"/>
    <w:rsid w:val="00640FC9"/>
    <w:rsid w:val="006655AC"/>
    <w:rsid w:val="0067082D"/>
    <w:rsid w:val="00672C2B"/>
    <w:rsid w:val="006826C1"/>
    <w:rsid w:val="006A6EC2"/>
    <w:rsid w:val="006D0C20"/>
    <w:rsid w:val="006D6D12"/>
    <w:rsid w:val="006E36C0"/>
    <w:rsid w:val="007024B1"/>
    <w:rsid w:val="00706EBB"/>
    <w:rsid w:val="00744BD9"/>
    <w:rsid w:val="00746D2A"/>
    <w:rsid w:val="007500EB"/>
    <w:rsid w:val="0076399A"/>
    <w:rsid w:val="007758A8"/>
    <w:rsid w:val="007810DE"/>
    <w:rsid w:val="00781966"/>
    <w:rsid w:val="007A323D"/>
    <w:rsid w:val="007B5729"/>
    <w:rsid w:val="007C0B88"/>
    <w:rsid w:val="008001E7"/>
    <w:rsid w:val="00805D11"/>
    <w:rsid w:val="00823AA9"/>
    <w:rsid w:val="0083383F"/>
    <w:rsid w:val="008417F5"/>
    <w:rsid w:val="00857226"/>
    <w:rsid w:val="0086335D"/>
    <w:rsid w:val="0087422E"/>
    <w:rsid w:val="008869EF"/>
    <w:rsid w:val="008904E9"/>
    <w:rsid w:val="008A64B4"/>
    <w:rsid w:val="008C584A"/>
    <w:rsid w:val="008D1CD2"/>
    <w:rsid w:val="008E2ED5"/>
    <w:rsid w:val="008E30B5"/>
    <w:rsid w:val="00906C14"/>
    <w:rsid w:val="00926401"/>
    <w:rsid w:val="009451CF"/>
    <w:rsid w:val="0094679D"/>
    <w:rsid w:val="00974788"/>
    <w:rsid w:val="0098211B"/>
    <w:rsid w:val="00984BDB"/>
    <w:rsid w:val="009A5589"/>
    <w:rsid w:val="009C4EBB"/>
    <w:rsid w:val="009D093C"/>
    <w:rsid w:val="009E186E"/>
    <w:rsid w:val="00A02C97"/>
    <w:rsid w:val="00A117BC"/>
    <w:rsid w:val="00A136EE"/>
    <w:rsid w:val="00A223A9"/>
    <w:rsid w:val="00A24855"/>
    <w:rsid w:val="00A50F08"/>
    <w:rsid w:val="00A51730"/>
    <w:rsid w:val="00A55E84"/>
    <w:rsid w:val="00A57E02"/>
    <w:rsid w:val="00A61A6B"/>
    <w:rsid w:val="00A7043F"/>
    <w:rsid w:val="00AA0EFB"/>
    <w:rsid w:val="00AB2BBF"/>
    <w:rsid w:val="00AC5B08"/>
    <w:rsid w:val="00AD0443"/>
    <w:rsid w:val="00AD1571"/>
    <w:rsid w:val="00AD6668"/>
    <w:rsid w:val="00AF082A"/>
    <w:rsid w:val="00AF2782"/>
    <w:rsid w:val="00B043D5"/>
    <w:rsid w:val="00B10C80"/>
    <w:rsid w:val="00B17D5C"/>
    <w:rsid w:val="00B438A6"/>
    <w:rsid w:val="00B57B68"/>
    <w:rsid w:val="00B62B89"/>
    <w:rsid w:val="00B667F8"/>
    <w:rsid w:val="00B71D74"/>
    <w:rsid w:val="00B725C4"/>
    <w:rsid w:val="00B73B5E"/>
    <w:rsid w:val="00B77BCF"/>
    <w:rsid w:val="00BA5EEC"/>
    <w:rsid w:val="00BB7607"/>
    <w:rsid w:val="00C16B2E"/>
    <w:rsid w:val="00C253EB"/>
    <w:rsid w:val="00C435E1"/>
    <w:rsid w:val="00C501A8"/>
    <w:rsid w:val="00C52B88"/>
    <w:rsid w:val="00C70E7C"/>
    <w:rsid w:val="00CD7F8E"/>
    <w:rsid w:val="00CF610C"/>
    <w:rsid w:val="00D0436F"/>
    <w:rsid w:val="00D10159"/>
    <w:rsid w:val="00D144E1"/>
    <w:rsid w:val="00D1737B"/>
    <w:rsid w:val="00D32CF7"/>
    <w:rsid w:val="00D37E54"/>
    <w:rsid w:val="00D43691"/>
    <w:rsid w:val="00D50B4C"/>
    <w:rsid w:val="00D565F3"/>
    <w:rsid w:val="00D64E7F"/>
    <w:rsid w:val="00D65E0E"/>
    <w:rsid w:val="00D72407"/>
    <w:rsid w:val="00D82B54"/>
    <w:rsid w:val="00DA16EF"/>
    <w:rsid w:val="00DB5DA1"/>
    <w:rsid w:val="00DC5FCB"/>
    <w:rsid w:val="00DD5262"/>
    <w:rsid w:val="00DE357B"/>
    <w:rsid w:val="00DE5ECD"/>
    <w:rsid w:val="00DF65D4"/>
    <w:rsid w:val="00E02728"/>
    <w:rsid w:val="00E55D59"/>
    <w:rsid w:val="00E64232"/>
    <w:rsid w:val="00EB0CC4"/>
    <w:rsid w:val="00EC55C5"/>
    <w:rsid w:val="00ED3561"/>
    <w:rsid w:val="00F32FF8"/>
    <w:rsid w:val="00F9253C"/>
    <w:rsid w:val="00FA3264"/>
    <w:rsid w:val="00FB55FA"/>
    <w:rsid w:val="00FD54DB"/>
    <w:rsid w:val="00FE20CC"/>
    <w:rsid w:val="00FF185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C5"/>
    <w:rPr>
      <w:rFonts w:ascii="Courier New" w:hAnsi="Courier New" w:cs="Courier New"/>
      <w:sz w:val="24"/>
      <w:szCs w:val="24"/>
    </w:rPr>
  </w:style>
  <w:style w:type="paragraph" w:styleId="Heading1">
    <w:name w:val="heading 1"/>
    <w:basedOn w:val="Normal"/>
    <w:next w:val="Normal"/>
    <w:qFormat/>
    <w:rsid w:val="00EC55C5"/>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C55C5"/>
    <w:pPr>
      <w:jc w:val="center"/>
    </w:pPr>
    <w:rPr>
      <w:b/>
      <w:bCs/>
    </w:rPr>
  </w:style>
  <w:style w:type="paragraph" w:styleId="Subtitle">
    <w:name w:val="Subtitle"/>
    <w:basedOn w:val="Normal"/>
    <w:qFormat/>
    <w:rsid w:val="00EC55C5"/>
    <w:pPr>
      <w:jc w:val="center"/>
    </w:pPr>
    <w:rPr>
      <w:b/>
      <w:bCs/>
      <w:u w:val="single"/>
    </w:rPr>
  </w:style>
  <w:style w:type="paragraph" w:styleId="BodyText">
    <w:name w:val="Body Text"/>
    <w:basedOn w:val="Normal"/>
    <w:semiHidden/>
    <w:rsid w:val="00EC55C5"/>
    <w:rPr>
      <w:b/>
      <w:bCs/>
    </w:rPr>
  </w:style>
  <w:style w:type="paragraph" w:styleId="FootnoteText">
    <w:name w:val="footnote text"/>
    <w:basedOn w:val="Normal"/>
    <w:semiHidden/>
    <w:rsid w:val="00EC55C5"/>
    <w:rPr>
      <w:sz w:val="20"/>
      <w:szCs w:val="20"/>
    </w:rPr>
  </w:style>
  <w:style w:type="character" w:styleId="FootnoteReference">
    <w:name w:val="footnote reference"/>
    <w:semiHidden/>
    <w:rsid w:val="00EC55C5"/>
    <w:rPr>
      <w:vertAlign w:val="superscript"/>
    </w:rPr>
  </w:style>
  <w:style w:type="paragraph" w:styleId="Header">
    <w:name w:val="header"/>
    <w:basedOn w:val="Normal"/>
    <w:semiHidden/>
    <w:rsid w:val="00EC55C5"/>
    <w:pPr>
      <w:tabs>
        <w:tab w:val="center" w:pos="4320"/>
        <w:tab w:val="right" w:pos="8640"/>
      </w:tabs>
    </w:pPr>
  </w:style>
  <w:style w:type="paragraph" w:styleId="Footer">
    <w:name w:val="footer"/>
    <w:basedOn w:val="Normal"/>
    <w:semiHidden/>
    <w:rsid w:val="00EC55C5"/>
    <w:pPr>
      <w:tabs>
        <w:tab w:val="center" w:pos="4320"/>
        <w:tab w:val="right" w:pos="8640"/>
      </w:tabs>
    </w:pPr>
  </w:style>
  <w:style w:type="character" w:styleId="PageNumber">
    <w:name w:val="page number"/>
    <w:basedOn w:val="DefaultParagraphFont"/>
    <w:semiHidden/>
    <w:rsid w:val="00EC55C5"/>
  </w:style>
  <w:style w:type="paragraph" w:styleId="ListParagraph">
    <w:name w:val="List Paragraph"/>
    <w:basedOn w:val="Normal"/>
    <w:uiPriority w:val="34"/>
    <w:qFormat/>
    <w:rsid w:val="00640FC9"/>
    <w:pPr>
      <w:ind w:left="720"/>
    </w:pPr>
  </w:style>
  <w:style w:type="character" w:styleId="Hyperlink">
    <w:name w:val="Hyperlink"/>
    <w:uiPriority w:val="99"/>
    <w:unhideWhenUsed/>
    <w:rsid w:val="00C253EB"/>
    <w:rPr>
      <w:color w:val="0000FF"/>
      <w:u w:val="single"/>
    </w:rPr>
  </w:style>
  <w:style w:type="paragraph" w:styleId="BalloonText">
    <w:name w:val="Balloon Text"/>
    <w:basedOn w:val="Normal"/>
    <w:link w:val="BalloonTextChar"/>
    <w:uiPriority w:val="99"/>
    <w:semiHidden/>
    <w:unhideWhenUsed/>
    <w:rsid w:val="00A57E02"/>
    <w:rPr>
      <w:rFonts w:ascii="Tahoma" w:hAnsi="Tahoma" w:cs="Tahoma"/>
      <w:sz w:val="16"/>
      <w:szCs w:val="16"/>
    </w:rPr>
  </w:style>
  <w:style w:type="character" w:customStyle="1" w:styleId="BalloonTextChar">
    <w:name w:val="Balloon Text Char"/>
    <w:link w:val="BalloonText"/>
    <w:uiPriority w:val="99"/>
    <w:semiHidden/>
    <w:rsid w:val="00A57E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9601211">
      <w:bodyDiv w:val="1"/>
      <w:marLeft w:val="0"/>
      <w:marRight w:val="0"/>
      <w:marTop w:val="0"/>
      <w:marBottom w:val="0"/>
      <w:divBdr>
        <w:top w:val="none" w:sz="0" w:space="0" w:color="auto"/>
        <w:left w:val="none" w:sz="0" w:space="0" w:color="auto"/>
        <w:bottom w:val="none" w:sz="0" w:space="0" w:color="auto"/>
        <w:right w:val="none" w:sz="0" w:space="0" w:color="auto"/>
      </w:divBdr>
      <w:divsChild>
        <w:div w:id="1609580375">
          <w:marLeft w:val="48"/>
          <w:marRight w:val="0"/>
          <w:marTop w:val="0"/>
          <w:marBottom w:val="0"/>
          <w:divBdr>
            <w:top w:val="none" w:sz="0" w:space="0" w:color="auto"/>
            <w:left w:val="none" w:sz="0" w:space="0" w:color="auto"/>
            <w:bottom w:val="none" w:sz="0" w:space="0" w:color="auto"/>
            <w:right w:val="none" w:sz="0" w:space="0" w:color="auto"/>
          </w:divBdr>
        </w:div>
      </w:divsChild>
    </w:div>
    <w:div w:id="303046119">
      <w:bodyDiv w:val="1"/>
      <w:marLeft w:val="0"/>
      <w:marRight w:val="0"/>
      <w:marTop w:val="0"/>
      <w:marBottom w:val="0"/>
      <w:divBdr>
        <w:top w:val="none" w:sz="0" w:space="0" w:color="auto"/>
        <w:left w:val="none" w:sz="0" w:space="0" w:color="auto"/>
        <w:bottom w:val="none" w:sz="0" w:space="0" w:color="auto"/>
        <w:right w:val="none" w:sz="0" w:space="0" w:color="auto"/>
      </w:divBdr>
      <w:divsChild>
        <w:div w:id="159588691">
          <w:marLeft w:val="0"/>
          <w:marRight w:val="0"/>
          <w:marTop w:val="0"/>
          <w:marBottom w:val="0"/>
          <w:divBdr>
            <w:top w:val="none" w:sz="0" w:space="0" w:color="auto"/>
            <w:left w:val="none" w:sz="0" w:space="0" w:color="auto"/>
            <w:bottom w:val="none" w:sz="0" w:space="0" w:color="auto"/>
            <w:right w:val="none" w:sz="0" w:space="0" w:color="auto"/>
          </w:divBdr>
          <w:divsChild>
            <w:div w:id="185514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699105">
      <w:bodyDiv w:val="1"/>
      <w:marLeft w:val="0"/>
      <w:marRight w:val="0"/>
      <w:marTop w:val="0"/>
      <w:marBottom w:val="0"/>
      <w:divBdr>
        <w:top w:val="none" w:sz="0" w:space="0" w:color="auto"/>
        <w:left w:val="none" w:sz="0" w:space="0" w:color="auto"/>
        <w:bottom w:val="none" w:sz="0" w:space="0" w:color="auto"/>
        <w:right w:val="none" w:sz="0" w:space="0" w:color="auto"/>
      </w:divBdr>
      <w:divsChild>
        <w:div w:id="281502741">
          <w:marLeft w:val="0"/>
          <w:marRight w:val="0"/>
          <w:marTop w:val="0"/>
          <w:marBottom w:val="0"/>
          <w:divBdr>
            <w:top w:val="none" w:sz="0" w:space="0" w:color="auto"/>
            <w:left w:val="none" w:sz="0" w:space="0" w:color="auto"/>
            <w:bottom w:val="none" w:sz="0" w:space="0" w:color="auto"/>
            <w:right w:val="none" w:sz="0" w:space="0" w:color="auto"/>
          </w:divBdr>
          <w:divsChild>
            <w:div w:id="19793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85672">
      <w:bodyDiv w:val="1"/>
      <w:marLeft w:val="0"/>
      <w:marRight w:val="0"/>
      <w:marTop w:val="0"/>
      <w:marBottom w:val="0"/>
      <w:divBdr>
        <w:top w:val="none" w:sz="0" w:space="0" w:color="auto"/>
        <w:left w:val="none" w:sz="0" w:space="0" w:color="auto"/>
        <w:bottom w:val="none" w:sz="0" w:space="0" w:color="auto"/>
        <w:right w:val="none" w:sz="0" w:space="0" w:color="auto"/>
      </w:divBdr>
      <w:divsChild>
        <w:div w:id="94717777">
          <w:marLeft w:val="48"/>
          <w:marRight w:val="0"/>
          <w:marTop w:val="0"/>
          <w:marBottom w:val="0"/>
          <w:divBdr>
            <w:top w:val="none" w:sz="0" w:space="0" w:color="auto"/>
            <w:left w:val="none" w:sz="0" w:space="0" w:color="auto"/>
            <w:bottom w:val="none" w:sz="0" w:space="0" w:color="auto"/>
            <w:right w:val="none" w:sz="0" w:space="0" w:color="auto"/>
          </w:divBdr>
          <w:divsChild>
            <w:div w:id="224415039">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 w:id="483202418">
      <w:bodyDiv w:val="1"/>
      <w:marLeft w:val="0"/>
      <w:marRight w:val="0"/>
      <w:marTop w:val="0"/>
      <w:marBottom w:val="0"/>
      <w:divBdr>
        <w:top w:val="none" w:sz="0" w:space="0" w:color="auto"/>
        <w:left w:val="none" w:sz="0" w:space="0" w:color="auto"/>
        <w:bottom w:val="none" w:sz="0" w:space="0" w:color="auto"/>
        <w:right w:val="none" w:sz="0" w:space="0" w:color="auto"/>
      </w:divBdr>
      <w:divsChild>
        <w:div w:id="1117212732">
          <w:marLeft w:val="48"/>
          <w:marRight w:val="0"/>
          <w:marTop w:val="0"/>
          <w:marBottom w:val="0"/>
          <w:divBdr>
            <w:top w:val="none" w:sz="0" w:space="0" w:color="auto"/>
            <w:left w:val="none" w:sz="0" w:space="0" w:color="auto"/>
            <w:bottom w:val="none" w:sz="0" w:space="0" w:color="auto"/>
            <w:right w:val="none" w:sz="0" w:space="0" w:color="auto"/>
          </w:divBdr>
          <w:divsChild>
            <w:div w:id="170218430">
              <w:marLeft w:val="144"/>
              <w:marRight w:val="0"/>
              <w:marTop w:val="0"/>
              <w:marBottom w:val="0"/>
              <w:divBdr>
                <w:top w:val="none" w:sz="0" w:space="0" w:color="auto"/>
                <w:left w:val="none" w:sz="0" w:space="0" w:color="auto"/>
                <w:bottom w:val="none" w:sz="0" w:space="0" w:color="auto"/>
                <w:right w:val="none" w:sz="0" w:space="0" w:color="auto"/>
              </w:divBdr>
            </w:div>
            <w:div w:id="980618069">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 w:id="637227905">
      <w:bodyDiv w:val="1"/>
      <w:marLeft w:val="0"/>
      <w:marRight w:val="0"/>
      <w:marTop w:val="0"/>
      <w:marBottom w:val="0"/>
      <w:divBdr>
        <w:top w:val="none" w:sz="0" w:space="0" w:color="auto"/>
        <w:left w:val="none" w:sz="0" w:space="0" w:color="auto"/>
        <w:bottom w:val="none" w:sz="0" w:space="0" w:color="auto"/>
        <w:right w:val="none" w:sz="0" w:space="0" w:color="auto"/>
      </w:divBdr>
      <w:divsChild>
        <w:div w:id="852377328">
          <w:marLeft w:val="48"/>
          <w:marRight w:val="0"/>
          <w:marTop w:val="0"/>
          <w:marBottom w:val="0"/>
          <w:divBdr>
            <w:top w:val="none" w:sz="0" w:space="0" w:color="auto"/>
            <w:left w:val="none" w:sz="0" w:space="0" w:color="auto"/>
            <w:bottom w:val="none" w:sz="0" w:space="0" w:color="auto"/>
            <w:right w:val="none" w:sz="0" w:space="0" w:color="auto"/>
          </w:divBdr>
        </w:div>
      </w:divsChild>
    </w:div>
    <w:div w:id="846797390">
      <w:bodyDiv w:val="1"/>
      <w:marLeft w:val="0"/>
      <w:marRight w:val="0"/>
      <w:marTop w:val="0"/>
      <w:marBottom w:val="0"/>
      <w:divBdr>
        <w:top w:val="none" w:sz="0" w:space="0" w:color="auto"/>
        <w:left w:val="none" w:sz="0" w:space="0" w:color="auto"/>
        <w:bottom w:val="none" w:sz="0" w:space="0" w:color="auto"/>
        <w:right w:val="none" w:sz="0" w:space="0" w:color="auto"/>
      </w:divBdr>
      <w:divsChild>
        <w:div w:id="154617025">
          <w:marLeft w:val="48"/>
          <w:marRight w:val="0"/>
          <w:marTop w:val="0"/>
          <w:marBottom w:val="0"/>
          <w:divBdr>
            <w:top w:val="none" w:sz="0" w:space="0" w:color="auto"/>
            <w:left w:val="none" w:sz="0" w:space="0" w:color="auto"/>
            <w:bottom w:val="none" w:sz="0" w:space="0" w:color="auto"/>
            <w:right w:val="none" w:sz="0" w:space="0" w:color="auto"/>
          </w:divBdr>
        </w:div>
      </w:divsChild>
    </w:div>
    <w:div w:id="936981162">
      <w:bodyDiv w:val="1"/>
      <w:marLeft w:val="0"/>
      <w:marRight w:val="0"/>
      <w:marTop w:val="0"/>
      <w:marBottom w:val="0"/>
      <w:divBdr>
        <w:top w:val="none" w:sz="0" w:space="0" w:color="auto"/>
        <w:left w:val="none" w:sz="0" w:space="0" w:color="auto"/>
        <w:bottom w:val="none" w:sz="0" w:space="0" w:color="auto"/>
        <w:right w:val="none" w:sz="0" w:space="0" w:color="auto"/>
      </w:divBdr>
      <w:divsChild>
        <w:div w:id="748191027">
          <w:marLeft w:val="48"/>
          <w:marRight w:val="0"/>
          <w:marTop w:val="0"/>
          <w:marBottom w:val="0"/>
          <w:divBdr>
            <w:top w:val="none" w:sz="0" w:space="0" w:color="auto"/>
            <w:left w:val="none" w:sz="0" w:space="0" w:color="auto"/>
            <w:bottom w:val="none" w:sz="0" w:space="0" w:color="auto"/>
            <w:right w:val="none" w:sz="0" w:space="0" w:color="auto"/>
          </w:divBdr>
        </w:div>
      </w:divsChild>
    </w:div>
    <w:div w:id="1323924946">
      <w:bodyDiv w:val="1"/>
      <w:marLeft w:val="0"/>
      <w:marRight w:val="0"/>
      <w:marTop w:val="0"/>
      <w:marBottom w:val="0"/>
      <w:divBdr>
        <w:top w:val="none" w:sz="0" w:space="0" w:color="auto"/>
        <w:left w:val="none" w:sz="0" w:space="0" w:color="auto"/>
        <w:bottom w:val="none" w:sz="0" w:space="0" w:color="auto"/>
        <w:right w:val="none" w:sz="0" w:space="0" w:color="auto"/>
      </w:divBdr>
      <w:divsChild>
        <w:div w:id="86771544">
          <w:marLeft w:val="0"/>
          <w:marRight w:val="0"/>
          <w:marTop w:val="0"/>
          <w:marBottom w:val="0"/>
          <w:divBdr>
            <w:top w:val="none" w:sz="0" w:space="0" w:color="auto"/>
            <w:left w:val="none" w:sz="0" w:space="0" w:color="auto"/>
            <w:bottom w:val="none" w:sz="0" w:space="0" w:color="auto"/>
            <w:right w:val="none" w:sz="0" w:space="0" w:color="auto"/>
          </w:divBdr>
          <w:divsChild>
            <w:div w:id="175454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4494">
      <w:bodyDiv w:val="1"/>
      <w:marLeft w:val="0"/>
      <w:marRight w:val="0"/>
      <w:marTop w:val="0"/>
      <w:marBottom w:val="0"/>
      <w:divBdr>
        <w:top w:val="none" w:sz="0" w:space="0" w:color="auto"/>
        <w:left w:val="none" w:sz="0" w:space="0" w:color="auto"/>
        <w:bottom w:val="none" w:sz="0" w:space="0" w:color="auto"/>
        <w:right w:val="none" w:sz="0" w:space="0" w:color="auto"/>
      </w:divBdr>
      <w:divsChild>
        <w:div w:id="1294481141">
          <w:marLeft w:val="48"/>
          <w:marRight w:val="0"/>
          <w:marTop w:val="0"/>
          <w:marBottom w:val="0"/>
          <w:divBdr>
            <w:top w:val="none" w:sz="0" w:space="0" w:color="auto"/>
            <w:left w:val="none" w:sz="0" w:space="0" w:color="auto"/>
            <w:bottom w:val="none" w:sz="0" w:space="0" w:color="auto"/>
            <w:right w:val="none" w:sz="0" w:space="0" w:color="auto"/>
          </w:divBdr>
        </w:div>
      </w:divsChild>
    </w:div>
    <w:div w:id="2031833865">
      <w:bodyDiv w:val="1"/>
      <w:marLeft w:val="0"/>
      <w:marRight w:val="0"/>
      <w:marTop w:val="0"/>
      <w:marBottom w:val="0"/>
      <w:divBdr>
        <w:top w:val="none" w:sz="0" w:space="0" w:color="auto"/>
        <w:left w:val="none" w:sz="0" w:space="0" w:color="auto"/>
        <w:bottom w:val="none" w:sz="0" w:space="0" w:color="auto"/>
        <w:right w:val="none" w:sz="0" w:space="0" w:color="auto"/>
      </w:divBdr>
      <w:divsChild>
        <w:div w:id="1587962083">
          <w:marLeft w:val="48"/>
          <w:marRight w:val="0"/>
          <w:marTop w:val="0"/>
          <w:marBottom w:val="0"/>
          <w:divBdr>
            <w:top w:val="none" w:sz="0" w:space="0" w:color="auto"/>
            <w:left w:val="none" w:sz="0" w:space="0" w:color="auto"/>
            <w:bottom w:val="none" w:sz="0" w:space="0" w:color="auto"/>
            <w:right w:val="none" w:sz="0" w:space="0" w:color="auto"/>
          </w:divBdr>
        </w:div>
      </w:divsChild>
    </w:div>
    <w:div w:id="2032804148">
      <w:bodyDiv w:val="1"/>
      <w:marLeft w:val="0"/>
      <w:marRight w:val="0"/>
      <w:marTop w:val="0"/>
      <w:marBottom w:val="0"/>
      <w:divBdr>
        <w:top w:val="none" w:sz="0" w:space="0" w:color="auto"/>
        <w:left w:val="none" w:sz="0" w:space="0" w:color="auto"/>
        <w:bottom w:val="none" w:sz="0" w:space="0" w:color="auto"/>
        <w:right w:val="none" w:sz="0" w:space="0" w:color="auto"/>
      </w:divBdr>
      <w:divsChild>
        <w:div w:id="907615214">
          <w:marLeft w:val="48"/>
          <w:marRight w:val="0"/>
          <w:marTop w:val="0"/>
          <w:marBottom w:val="0"/>
          <w:divBdr>
            <w:top w:val="none" w:sz="0" w:space="0" w:color="auto"/>
            <w:left w:val="none" w:sz="0" w:space="0" w:color="auto"/>
            <w:bottom w:val="none" w:sz="0" w:space="0" w:color="auto"/>
            <w:right w:val="none" w:sz="0" w:space="0" w:color="auto"/>
          </w:divBdr>
          <w:divsChild>
            <w:div w:id="1357123264">
              <w:marLeft w:val="144"/>
              <w:marRight w:val="0"/>
              <w:marTop w:val="0"/>
              <w:marBottom w:val="0"/>
              <w:divBdr>
                <w:top w:val="none" w:sz="0" w:space="0" w:color="auto"/>
                <w:left w:val="none" w:sz="0" w:space="0" w:color="auto"/>
                <w:bottom w:val="none" w:sz="0" w:space="0" w:color="auto"/>
                <w:right w:val="none" w:sz="0" w:space="0" w:color="auto"/>
              </w:divBdr>
            </w:div>
            <w:div w:id="1548880858">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 w:id="2048599160">
      <w:bodyDiv w:val="1"/>
      <w:marLeft w:val="0"/>
      <w:marRight w:val="0"/>
      <w:marTop w:val="0"/>
      <w:marBottom w:val="0"/>
      <w:divBdr>
        <w:top w:val="none" w:sz="0" w:space="0" w:color="auto"/>
        <w:left w:val="none" w:sz="0" w:space="0" w:color="auto"/>
        <w:bottom w:val="none" w:sz="0" w:space="0" w:color="auto"/>
        <w:right w:val="none" w:sz="0" w:space="0" w:color="auto"/>
      </w:divBdr>
      <w:divsChild>
        <w:div w:id="122357543">
          <w:marLeft w:val="48"/>
          <w:marRight w:val="0"/>
          <w:marTop w:val="0"/>
          <w:marBottom w:val="0"/>
          <w:divBdr>
            <w:top w:val="none" w:sz="0" w:space="0" w:color="auto"/>
            <w:left w:val="none" w:sz="0" w:space="0" w:color="auto"/>
            <w:bottom w:val="none" w:sz="0" w:space="0" w:color="auto"/>
            <w:right w:val="none" w:sz="0" w:space="0" w:color="auto"/>
          </w:divBdr>
          <w:divsChild>
            <w:div w:id="1253734595">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C65DB-F25F-4705-83F0-FD3EFA283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21</Pages>
  <Words>4064</Words>
  <Characters>23165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IN THE COURT OF COMMON PLEAS OF CARBON COUNTY, PENNSYLVANIA</vt:lpstr>
    </vt:vector>
  </TitlesOfParts>
  <Company>Carbon Court</Company>
  <LinksUpToDate>false</LinksUpToDate>
  <CharactersWithSpaces>27175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COURT OF COMMON PLEAS OF CARBON COUNTY, PENNSYLVANIA</dc:title>
  <dc:creator>jake</dc:creator>
  <cp:lastModifiedBy>mark</cp:lastModifiedBy>
  <cp:revision>14</cp:revision>
  <cp:lastPrinted>2012-04-05T19:21:00Z</cp:lastPrinted>
  <dcterms:created xsi:type="dcterms:W3CDTF">2012-03-26T12:40:00Z</dcterms:created>
  <dcterms:modified xsi:type="dcterms:W3CDTF">2012-04-05T19:30:00Z</dcterms:modified>
</cp:coreProperties>
</file>