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547" w:rsidRDefault="00243547" w:rsidP="00243547">
      <w:pPr>
        <w:jc w:val="both"/>
        <w:rPr>
          <w:b/>
        </w:rPr>
      </w:pPr>
    </w:p>
    <w:p w:rsidR="00243547" w:rsidRDefault="00243547" w:rsidP="00243547">
      <w:pPr>
        <w:tabs>
          <w:tab w:val="center" w:pos="4680"/>
        </w:tabs>
        <w:jc w:val="both"/>
        <w:rPr>
          <w:b/>
        </w:rPr>
      </w:pPr>
      <w:r>
        <w:rPr>
          <w:b/>
        </w:rPr>
        <w:tab/>
        <w:t>IN THE COURT OF COMMON PLEAS OF CARBON COUNTY, PENNSYLVANIA</w:t>
      </w:r>
    </w:p>
    <w:p w:rsidR="00243547" w:rsidRDefault="00243547" w:rsidP="00243547">
      <w:pPr>
        <w:jc w:val="both"/>
        <w:rPr>
          <w:b/>
        </w:rPr>
      </w:pPr>
    </w:p>
    <w:p w:rsidR="00243547" w:rsidRDefault="00243547" w:rsidP="00243547">
      <w:pPr>
        <w:pStyle w:val="Heading1"/>
      </w:pPr>
      <w:r>
        <w:tab/>
        <w:t>C</w:t>
      </w:r>
      <w:r w:rsidR="00806225">
        <w:t>RIMINAL</w:t>
      </w:r>
      <w:r w:rsidR="00660FAC">
        <w:t xml:space="preserve"> DIVISION</w:t>
      </w:r>
      <w:r>
        <w:t xml:space="preserve"> </w:t>
      </w:r>
    </w:p>
    <w:p w:rsidR="00243547" w:rsidRDefault="00243547" w:rsidP="00243547">
      <w:pPr>
        <w:tabs>
          <w:tab w:val="center" w:pos="4680"/>
        </w:tabs>
        <w:jc w:val="both"/>
        <w:rPr>
          <w:b/>
        </w:rPr>
      </w:pPr>
    </w:p>
    <w:p w:rsidR="00243547" w:rsidRDefault="00243547" w:rsidP="00243547">
      <w:pPr>
        <w:tabs>
          <w:tab w:val="center" w:pos="4680"/>
        </w:tabs>
        <w:jc w:val="both"/>
        <w:rPr>
          <w:b/>
        </w:rPr>
      </w:pPr>
    </w:p>
    <w:p w:rsidR="00243547" w:rsidRDefault="00660FAC" w:rsidP="00243547">
      <w:pPr>
        <w:jc w:val="both"/>
        <w:rPr>
          <w:b/>
        </w:rPr>
      </w:pPr>
      <w:r>
        <w:rPr>
          <w:b/>
        </w:rPr>
        <w:t xml:space="preserve">COMMONWEALTH OF </w:t>
      </w:r>
      <w:proofErr w:type="gramStart"/>
      <w:r>
        <w:rPr>
          <w:b/>
        </w:rPr>
        <w:t>PENNSYLVANIA</w:t>
      </w:r>
      <w:r w:rsidR="00243547">
        <w:rPr>
          <w:b/>
        </w:rPr>
        <w:t>,</w:t>
      </w:r>
      <w:r w:rsidR="00243547">
        <w:rPr>
          <w:b/>
        </w:rPr>
        <w:tab/>
      </w:r>
      <w:r w:rsidR="00243547">
        <w:rPr>
          <w:b/>
        </w:rPr>
        <w:tab/>
        <w:t>:</w:t>
      </w:r>
      <w:proofErr w:type="gramEnd"/>
    </w:p>
    <w:p w:rsidR="00243547" w:rsidRDefault="00243547" w:rsidP="00243547">
      <w:pPr>
        <w:ind w:firstLine="5040"/>
        <w:jc w:val="both"/>
        <w:rPr>
          <w:b/>
        </w:rPr>
      </w:pPr>
      <w:r>
        <w:rPr>
          <w:b/>
        </w:rPr>
        <w:t>:</w:t>
      </w:r>
      <w:r>
        <w:rPr>
          <w:b/>
        </w:rPr>
        <w:tab/>
      </w:r>
    </w:p>
    <w:p w:rsidR="00243547" w:rsidRDefault="00243547" w:rsidP="00243547">
      <w:pPr>
        <w:jc w:val="both"/>
        <w:rPr>
          <w:b/>
        </w:rPr>
      </w:pPr>
      <w:r>
        <w:rPr>
          <w:b/>
        </w:rPr>
        <w:t xml:space="preserve">          </w:t>
      </w:r>
      <w:proofErr w:type="gramStart"/>
      <w:r>
        <w:rPr>
          <w:b/>
        </w:rPr>
        <w:t>vs</w:t>
      </w:r>
      <w:proofErr w:type="gramEnd"/>
      <w:r>
        <w:rPr>
          <w:b/>
        </w:rPr>
        <w:t>.</w:t>
      </w:r>
      <w:r>
        <w:rPr>
          <w:b/>
        </w:rPr>
        <w:tab/>
      </w:r>
      <w:r>
        <w:rPr>
          <w:b/>
        </w:rPr>
        <w:tab/>
      </w:r>
      <w:r>
        <w:rPr>
          <w:b/>
        </w:rPr>
        <w:tab/>
      </w:r>
      <w:r>
        <w:rPr>
          <w:b/>
        </w:rPr>
        <w:tab/>
      </w:r>
      <w:r>
        <w:rPr>
          <w:b/>
        </w:rPr>
        <w:tab/>
        <w:t>:</w:t>
      </w:r>
      <w:r>
        <w:rPr>
          <w:b/>
        </w:rPr>
        <w:tab/>
        <w:t xml:space="preserve">No. </w:t>
      </w:r>
      <w:r w:rsidR="0007292D">
        <w:rPr>
          <w:b/>
        </w:rPr>
        <w:t>133</w:t>
      </w:r>
      <w:r w:rsidR="00660FAC">
        <w:rPr>
          <w:b/>
        </w:rPr>
        <w:t>-CR-2012</w:t>
      </w:r>
    </w:p>
    <w:p w:rsidR="00243547" w:rsidRDefault="00243547" w:rsidP="00243547">
      <w:pPr>
        <w:ind w:firstLine="5040"/>
        <w:jc w:val="both"/>
        <w:rPr>
          <w:b/>
        </w:rPr>
      </w:pPr>
      <w:r>
        <w:rPr>
          <w:b/>
        </w:rPr>
        <w:t>:</w:t>
      </w:r>
    </w:p>
    <w:p w:rsidR="00243547" w:rsidRDefault="0007292D" w:rsidP="00243547">
      <w:pPr>
        <w:jc w:val="both"/>
        <w:rPr>
          <w:b/>
        </w:rPr>
      </w:pPr>
      <w:r>
        <w:rPr>
          <w:b/>
        </w:rPr>
        <w:t xml:space="preserve">CARLOS </w:t>
      </w:r>
      <w:proofErr w:type="gramStart"/>
      <w:r>
        <w:rPr>
          <w:b/>
        </w:rPr>
        <w:t>AGUIRRE</w:t>
      </w:r>
      <w:r w:rsidR="00243547">
        <w:rPr>
          <w:b/>
        </w:rPr>
        <w:t>,</w:t>
      </w:r>
      <w:r w:rsidR="00660FAC">
        <w:rPr>
          <w:b/>
        </w:rPr>
        <w:tab/>
      </w:r>
      <w:r w:rsidR="00243547">
        <w:rPr>
          <w:b/>
        </w:rPr>
        <w:tab/>
      </w:r>
      <w:r w:rsidR="00243547">
        <w:rPr>
          <w:b/>
        </w:rPr>
        <w:tab/>
      </w:r>
      <w:r w:rsidR="00243547">
        <w:rPr>
          <w:b/>
        </w:rPr>
        <w:tab/>
        <w:t>:</w:t>
      </w:r>
      <w:proofErr w:type="gramEnd"/>
    </w:p>
    <w:p w:rsidR="00243547" w:rsidRDefault="00243547" w:rsidP="00124A0E">
      <w:pPr>
        <w:ind w:left="720" w:firstLine="1440"/>
        <w:jc w:val="both"/>
        <w:rPr>
          <w:b/>
        </w:rPr>
      </w:pPr>
      <w:r>
        <w:rPr>
          <w:b/>
        </w:rPr>
        <w:t>Defendant</w:t>
      </w:r>
      <w:r>
        <w:rPr>
          <w:b/>
        </w:rPr>
        <w:tab/>
      </w:r>
      <w:r>
        <w:rPr>
          <w:b/>
        </w:rPr>
        <w:tab/>
      </w:r>
      <w:r>
        <w:rPr>
          <w:b/>
        </w:rPr>
        <w:tab/>
        <w:t>:</w:t>
      </w:r>
    </w:p>
    <w:p w:rsidR="00243547" w:rsidRDefault="00243547" w:rsidP="00243547">
      <w:pPr>
        <w:jc w:val="both"/>
        <w:rPr>
          <w:b/>
        </w:rPr>
      </w:pPr>
    </w:p>
    <w:p w:rsidR="00243547" w:rsidRDefault="00243547" w:rsidP="00243547">
      <w:pPr>
        <w:jc w:val="both"/>
        <w:rPr>
          <w:b/>
        </w:rPr>
      </w:pPr>
    </w:p>
    <w:p w:rsidR="00660FAC" w:rsidRDefault="0007292D" w:rsidP="00243547">
      <w:pPr>
        <w:jc w:val="both"/>
        <w:rPr>
          <w:b/>
        </w:rPr>
      </w:pPr>
      <w:r>
        <w:rPr>
          <w:b/>
        </w:rPr>
        <w:t xml:space="preserve">Cynthia </w:t>
      </w:r>
      <w:proofErr w:type="spellStart"/>
      <w:r>
        <w:rPr>
          <w:b/>
        </w:rPr>
        <w:t>Dyrda</w:t>
      </w:r>
      <w:proofErr w:type="spellEnd"/>
      <w:r>
        <w:rPr>
          <w:b/>
        </w:rPr>
        <w:t>-Hatton</w:t>
      </w:r>
      <w:r w:rsidR="00660FAC">
        <w:rPr>
          <w:b/>
        </w:rPr>
        <w:t xml:space="preserve">, </w:t>
      </w:r>
      <w:r w:rsidR="00243547">
        <w:rPr>
          <w:b/>
        </w:rPr>
        <w:t>Esquire</w:t>
      </w:r>
    </w:p>
    <w:p w:rsidR="00660FAC" w:rsidRDefault="00660FAC" w:rsidP="00243547">
      <w:pPr>
        <w:jc w:val="both"/>
        <w:rPr>
          <w:b/>
        </w:rPr>
      </w:pPr>
      <w:r>
        <w:rPr>
          <w:b/>
        </w:rPr>
        <w:t>Assistant District Attorney</w:t>
      </w:r>
      <w:r w:rsidR="00243547">
        <w:rPr>
          <w:b/>
        </w:rPr>
        <w:tab/>
      </w:r>
      <w:r w:rsidR="00243547">
        <w:rPr>
          <w:b/>
        </w:rPr>
        <w:tab/>
        <w:t>Counsel for</w:t>
      </w:r>
      <w:r>
        <w:rPr>
          <w:b/>
        </w:rPr>
        <w:t xml:space="preserve"> the Commonwealth</w:t>
      </w:r>
    </w:p>
    <w:p w:rsidR="00243547" w:rsidRDefault="0007292D" w:rsidP="00243547">
      <w:pPr>
        <w:jc w:val="both"/>
        <w:rPr>
          <w:b/>
        </w:rPr>
      </w:pPr>
      <w:r>
        <w:rPr>
          <w:b/>
        </w:rPr>
        <w:t xml:space="preserve">Brian B. </w:t>
      </w:r>
      <w:proofErr w:type="spellStart"/>
      <w:r>
        <w:rPr>
          <w:b/>
        </w:rPr>
        <w:t>Gazo</w:t>
      </w:r>
      <w:proofErr w:type="spellEnd"/>
      <w:r>
        <w:rPr>
          <w:b/>
        </w:rPr>
        <w:t>,</w:t>
      </w:r>
      <w:r w:rsidR="00660FAC">
        <w:rPr>
          <w:b/>
        </w:rPr>
        <w:t xml:space="preserve"> </w:t>
      </w:r>
      <w:r w:rsidR="00243547">
        <w:rPr>
          <w:b/>
        </w:rPr>
        <w:t>Esquire</w:t>
      </w:r>
      <w:r w:rsidR="00243547">
        <w:rPr>
          <w:b/>
        </w:rPr>
        <w:tab/>
      </w:r>
      <w:r>
        <w:rPr>
          <w:b/>
        </w:rPr>
        <w:tab/>
      </w:r>
      <w:r>
        <w:rPr>
          <w:b/>
        </w:rPr>
        <w:tab/>
      </w:r>
      <w:r w:rsidR="00243547">
        <w:rPr>
          <w:b/>
        </w:rPr>
        <w:t>Counsel for</w:t>
      </w:r>
      <w:r w:rsidR="00660FAC">
        <w:rPr>
          <w:b/>
        </w:rPr>
        <w:t xml:space="preserve"> the</w:t>
      </w:r>
      <w:r w:rsidR="00243547">
        <w:rPr>
          <w:b/>
        </w:rPr>
        <w:t xml:space="preserve"> Defendant</w:t>
      </w:r>
    </w:p>
    <w:p w:rsidR="00243547" w:rsidRDefault="00243547" w:rsidP="00243547">
      <w:pPr>
        <w:jc w:val="both"/>
        <w:rPr>
          <w:b/>
        </w:rPr>
      </w:pPr>
    </w:p>
    <w:p w:rsidR="00243547" w:rsidRDefault="00243547" w:rsidP="00243547">
      <w:pPr>
        <w:jc w:val="both"/>
        <w:rPr>
          <w:b/>
        </w:rPr>
      </w:pPr>
    </w:p>
    <w:p w:rsidR="00243547" w:rsidRPr="00185F9A" w:rsidRDefault="007A37B1" w:rsidP="007A37B1">
      <w:pPr>
        <w:tabs>
          <w:tab w:val="center" w:pos="4680"/>
        </w:tabs>
        <w:jc w:val="both"/>
        <w:rPr>
          <w:b/>
        </w:rPr>
      </w:pPr>
      <w:proofErr w:type="spellStart"/>
      <w:r>
        <w:rPr>
          <w:b/>
        </w:rPr>
        <w:t>M</w:t>
      </w:r>
      <w:r w:rsidR="00243547" w:rsidRPr="00185F9A">
        <w:rPr>
          <w:b/>
        </w:rPr>
        <w:t>atika</w:t>
      </w:r>
      <w:proofErr w:type="spellEnd"/>
      <w:r w:rsidR="00243547" w:rsidRPr="00185F9A">
        <w:rPr>
          <w:b/>
        </w:rPr>
        <w:t>, J. – Ma</w:t>
      </w:r>
      <w:r w:rsidR="00660FAC">
        <w:rPr>
          <w:b/>
        </w:rPr>
        <w:t>y</w:t>
      </w:r>
      <w:r w:rsidR="003621FC">
        <w:rPr>
          <w:b/>
        </w:rPr>
        <w:t xml:space="preserve"> 30</w:t>
      </w:r>
      <w:r w:rsidR="00243547" w:rsidRPr="00185F9A">
        <w:rPr>
          <w:b/>
        </w:rPr>
        <w:t>,</w:t>
      </w:r>
      <w:r w:rsidR="003621FC">
        <w:rPr>
          <w:b/>
        </w:rPr>
        <w:t xml:space="preserve"> </w:t>
      </w:r>
      <w:r w:rsidR="00243547" w:rsidRPr="00185F9A">
        <w:rPr>
          <w:b/>
        </w:rPr>
        <w:t>2012</w:t>
      </w:r>
    </w:p>
    <w:p w:rsidR="00243547" w:rsidRPr="00185F9A" w:rsidRDefault="00243547" w:rsidP="00243547">
      <w:pPr>
        <w:spacing w:line="480" w:lineRule="auto"/>
        <w:jc w:val="both"/>
        <w:rPr>
          <w:b/>
        </w:rPr>
      </w:pPr>
    </w:p>
    <w:p w:rsidR="00243547" w:rsidRDefault="00243547" w:rsidP="00243547">
      <w:pPr>
        <w:spacing w:line="480" w:lineRule="auto"/>
        <w:jc w:val="center"/>
        <w:rPr>
          <w:b/>
          <w:u w:val="single"/>
        </w:rPr>
      </w:pPr>
      <w:r w:rsidRPr="00185F9A">
        <w:rPr>
          <w:b/>
          <w:u w:val="single"/>
        </w:rPr>
        <w:t>MEMORANDUM OPINION</w:t>
      </w:r>
    </w:p>
    <w:p w:rsidR="001B7224" w:rsidRDefault="0007292D" w:rsidP="00243547">
      <w:pPr>
        <w:spacing w:line="480" w:lineRule="auto"/>
        <w:jc w:val="both"/>
        <w:rPr>
          <w:b/>
        </w:rPr>
      </w:pPr>
      <w:r>
        <w:rPr>
          <w:b/>
        </w:rPr>
        <w:tab/>
        <w:t xml:space="preserve">Before the Court is Defendant’s “Motion to Quash/Habeas Corpus” pertaining to the charges of Aggravated Assault (One Count) and </w:t>
      </w:r>
      <w:proofErr w:type="gramStart"/>
      <w:r>
        <w:rPr>
          <w:b/>
        </w:rPr>
        <w:t>Endangering</w:t>
      </w:r>
      <w:proofErr w:type="gramEnd"/>
      <w:r>
        <w:rPr>
          <w:b/>
        </w:rPr>
        <w:t xml:space="preserve"> the Welfare of Children (Two Counts).  For the reasons stated in this Opinion, we grant this Motion in part and deny it in part.</w:t>
      </w:r>
      <w:r w:rsidR="00243547">
        <w:rPr>
          <w:b/>
        </w:rPr>
        <w:tab/>
      </w:r>
    </w:p>
    <w:p w:rsidR="0007292D" w:rsidRDefault="0007292D" w:rsidP="00243547">
      <w:pPr>
        <w:spacing w:line="480" w:lineRule="auto"/>
        <w:jc w:val="both"/>
        <w:rPr>
          <w:b/>
          <w:u w:val="single"/>
        </w:rPr>
      </w:pPr>
    </w:p>
    <w:p w:rsidR="00243547" w:rsidRDefault="00243547" w:rsidP="00660FAC">
      <w:pPr>
        <w:spacing w:line="480" w:lineRule="auto"/>
        <w:jc w:val="center"/>
        <w:rPr>
          <w:b/>
          <w:u w:val="single"/>
        </w:rPr>
      </w:pPr>
      <w:r>
        <w:rPr>
          <w:b/>
          <w:u w:val="single"/>
        </w:rPr>
        <w:t>FACTUAL</w:t>
      </w:r>
      <w:r w:rsidR="00660FAC">
        <w:rPr>
          <w:b/>
          <w:u w:val="single"/>
        </w:rPr>
        <w:t xml:space="preserve"> AND PROCEDURAL</w:t>
      </w:r>
      <w:r>
        <w:rPr>
          <w:b/>
          <w:u w:val="single"/>
        </w:rPr>
        <w:t xml:space="preserve"> BACKGROUND</w:t>
      </w:r>
    </w:p>
    <w:p w:rsidR="00CB39CE" w:rsidRPr="00832A82" w:rsidRDefault="00CB39CE" w:rsidP="00CB39CE">
      <w:pPr>
        <w:spacing w:line="480" w:lineRule="auto"/>
        <w:jc w:val="both"/>
        <w:rPr>
          <w:b/>
        </w:rPr>
      </w:pPr>
      <w:r>
        <w:rPr>
          <w:b/>
        </w:rPr>
        <w:tab/>
      </w:r>
      <w:r w:rsidRPr="00832A82">
        <w:rPr>
          <w:b/>
        </w:rPr>
        <w:t>On or about December 29, 2011, the Defendant, Carlos Aguirre, was charged with Aggravated Assault</w:t>
      </w:r>
      <w:r w:rsidR="00832A82">
        <w:rPr>
          <w:b/>
        </w:rPr>
        <w:t xml:space="preserve"> [</w:t>
      </w:r>
      <w:r w:rsidRPr="00832A82">
        <w:rPr>
          <w:b/>
        </w:rPr>
        <w:t xml:space="preserve">18 </w:t>
      </w:r>
      <w:proofErr w:type="spellStart"/>
      <w:r w:rsidRPr="00832A82">
        <w:rPr>
          <w:b/>
        </w:rPr>
        <w:t>Pa.C.S.A</w:t>
      </w:r>
      <w:proofErr w:type="spellEnd"/>
      <w:r w:rsidRPr="00832A82">
        <w:rPr>
          <w:b/>
        </w:rPr>
        <w:t xml:space="preserve">. </w:t>
      </w:r>
      <w:r w:rsidRPr="00832A82">
        <w:rPr>
          <w:rFonts w:cs="Courier New"/>
          <w:b/>
        </w:rPr>
        <w:t>§</w:t>
      </w:r>
      <w:r w:rsidRPr="00832A82">
        <w:rPr>
          <w:b/>
        </w:rPr>
        <w:t>2702</w:t>
      </w:r>
      <w:r w:rsidR="00F115D6" w:rsidRPr="00832A82">
        <w:rPr>
          <w:b/>
        </w:rPr>
        <w:t>(a</w:t>
      </w:r>
      <w:proofErr w:type="gramStart"/>
      <w:r w:rsidR="00F115D6" w:rsidRPr="00832A82">
        <w:rPr>
          <w:b/>
        </w:rPr>
        <w:t>)(</w:t>
      </w:r>
      <w:proofErr w:type="gramEnd"/>
      <w:r w:rsidR="00F115D6" w:rsidRPr="00832A82">
        <w:rPr>
          <w:b/>
        </w:rPr>
        <w:t>1)</w:t>
      </w:r>
      <w:r w:rsidR="00832A82">
        <w:rPr>
          <w:b/>
        </w:rPr>
        <w:t>]</w:t>
      </w:r>
      <w:r w:rsidR="00F115D6" w:rsidRPr="00832A82">
        <w:rPr>
          <w:b/>
        </w:rPr>
        <w:t xml:space="preserve">, Simple Assault </w:t>
      </w:r>
      <w:r w:rsidR="00832A82">
        <w:rPr>
          <w:b/>
        </w:rPr>
        <w:t>[</w:t>
      </w:r>
      <w:r w:rsidR="00F115D6" w:rsidRPr="00832A82">
        <w:rPr>
          <w:b/>
        </w:rPr>
        <w:t xml:space="preserve">18 </w:t>
      </w:r>
      <w:proofErr w:type="spellStart"/>
      <w:r w:rsidR="00F115D6" w:rsidRPr="00832A82">
        <w:rPr>
          <w:b/>
        </w:rPr>
        <w:t>Pa.C.S.A</w:t>
      </w:r>
      <w:proofErr w:type="spellEnd"/>
      <w:r w:rsidR="00F115D6" w:rsidRPr="00832A82">
        <w:rPr>
          <w:b/>
        </w:rPr>
        <w:t xml:space="preserve">. </w:t>
      </w:r>
      <w:r w:rsidR="00F115D6" w:rsidRPr="00832A82">
        <w:rPr>
          <w:rFonts w:cs="Courier New"/>
          <w:b/>
        </w:rPr>
        <w:t>§</w:t>
      </w:r>
      <w:r w:rsidR="00F115D6" w:rsidRPr="00832A82">
        <w:rPr>
          <w:b/>
        </w:rPr>
        <w:t>2701(a</w:t>
      </w:r>
      <w:proofErr w:type="gramStart"/>
      <w:r w:rsidR="00F115D6" w:rsidRPr="00832A82">
        <w:rPr>
          <w:b/>
        </w:rPr>
        <w:t>)(</w:t>
      </w:r>
      <w:proofErr w:type="gramEnd"/>
      <w:r w:rsidR="00F115D6" w:rsidRPr="00832A82">
        <w:rPr>
          <w:b/>
        </w:rPr>
        <w:t>1)</w:t>
      </w:r>
      <w:r w:rsidR="00832A82">
        <w:rPr>
          <w:b/>
        </w:rPr>
        <w:t>]</w:t>
      </w:r>
      <w:r w:rsidR="00F115D6" w:rsidRPr="00832A82">
        <w:rPr>
          <w:b/>
        </w:rPr>
        <w:t xml:space="preserve"> and Harassment </w:t>
      </w:r>
      <w:r w:rsidR="00832A82">
        <w:rPr>
          <w:b/>
        </w:rPr>
        <w:t>[</w:t>
      </w:r>
      <w:r w:rsidR="00F115D6" w:rsidRPr="00832A82">
        <w:rPr>
          <w:b/>
        </w:rPr>
        <w:t xml:space="preserve">18 </w:t>
      </w:r>
      <w:proofErr w:type="spellStart"/>
      <w:r w:rsidR="00F115D6" w:rsidRPr="00832A82">
        <w:rPr>
          <w:b/>
        </w:rPr>
        <w:t>Pa.C.S.A</w:t>
      </w:r>
      <w:proofErr w:type="spellEnd"/>
      <w:r w:rsidR="00F115D6" w:rsidRPr="00832A82">
        <w:rPr>
          <w:b/>
        </w:rPr>
        <w:t xml:space="preserve">. </w:t>
      </w:r>
      <w:r w:rsidR="00F115D6" w:rsidRPr="00832A82">
        <w:rPr>
          <w:rFonts w:cs="Courier New"/>
          <w:b/>
        </w:rPr>
        <w:t>§</w:t>
      </w:r>
      <w:r w:rsidR="00F115D6" w:rsidRPr="00832A82">
        <w:rPr>
          <w:b/>
        </w:rPr>
        <w:t>2709(a</w:t>
      </w:r>
      <w:proofErr w:type="gramStart"/>
      <w:r w:rsidR="00F115D6" w:rsidRPr="00832A82">
        <w:rPr>
          <w:b/>
        </w:rPr>
        <w:t>)(</w:t>
      </w:r>
      <w:proofErr w:type="gramEnd"/>
      <w:r w:rsidR="00F115D6" w:rsidRPr="00832A82">
        <w:rPr>
          <w:b/>
        </w:rPr>
        <w:t>1)</w:t>
      </w:r>
      <w:r w:rsidR="00832A82">
        <w:rPr>
          <w:b/>
        </w:rPr>
        <w:t>]</w:t>
      </w:r>
      <w:r w:rsidR="00F115D6" w:rsidRPr="00832A82">
        <w:rPr>
          <w:b/>
        </w:rPr>
        <w:t xml:space="preserve">.  A </w:t>
      </w:r>
      <w:r w:rsidR="003621FC">
        <w:rPr>
          <w:b/>
        </w:rPr>
        <w:t>p</w:t>
      </w:r>
      <w:r w:rsidR="00F115D6" w:rsidRPr="00832A82">
        <w:rPr>
          <w:b/>
        </w:rPr>
        <w:t xml:space="preserve">reliminary </w:t>
      </w:r>
      <w:r w:rsidR="003621FC">
        <w:rPr>
          <w:b/>
        </w:rPr>
        <w:t>h</w:t>
      </w:r>
      <w:r w:rsidR="00F115D6" w:rsidRPr="00832A82">
        <w:rPr>
          <w:b/>
        </w:rPr>
        <w:t xml:space="preserve">earing was scheduled and held on February 1, 2012.  At that time, the </w:t>
      </w:r>
      <w:r w:rsidR="00F115D6" w:rsidRPr="00832A82">
        <w:rPr>
          <w:b/>
        </w:rPr>
        <w:lastRenderedPageBreak/>
        <w:t xml:space="preserve">Commonwealth amended the Complaint to add two (2) counts of Endangering Welfare of Children </w:t>
      </w:r>
      <w:r w:rsidR="00832A82">
        <w:rPr>
          <w:b/>
        </w:rPr>
        <w:t>[</w:t>
      </w:r>
      <w:r w:rsidR="00F115D6" w:rsidRPr="00832A82">
        <w:rPr>
          <w:b/>
        </w:rPr>
        <w:t xml:space="preserve">18 </w:t>
      </w:r>
      <w:proofErr w:type="spellStart"/>
      <w:r w:rsidR="00F115D6" w:rsidRPr="00832A82">
        <w:rPr>
          <w:b/>
        </w:rPr>
        <w:t>Pa.C.S.A</w:t>
      </w:r>
      <w:proofErr w:type="spellEnd"/>
      <w:r w:rsidR="00F115D6" w:rsidRPr="00832A82">
        <w:rPr>
          <w:b/>
        </w:rPr>
        <w:t xml:space="preserve">. </w:t>
      </w:r>
      <w:r w:rsidR="00F115D6" w:rsidRPr="00832A82">
        <w:rPr>
          <w:rFonts w:cs="Courier New"/>
          <w:b/>
        </w:rPr>
        <w:t>§</w:t>
      </w:r>
      <w:r w:rsidR="00F115D6" w:rsidRPr="00832A82">
        <w:rPr>
          <w:b/>
        </w:rPr>
        <w:t>4304(a</w:t>
      </w:r>
      <w:proofErr w:type="gramStart"/>
      <w:r w:rsidR="00F115D6" w:rsidRPr="00832A82">
        <w:rPr>
          <w:b/>
        </w:rPr>
        <w:t>)(</w:t>
      </w:r>
      <w:proofErr w:type="gramEnd"/>
      <w:r w:rsidR="00F115D6" w:rsidRPr="00832A82">
        <w:rPr>
          <w:b/>
        </w:rPr>
        <w:t>1)</w:t>
      </w:r>
      <w:r w:rsidR="00832A82">
        <w:rPr>
          <w:b/>
        </w:rPr>
        <w:t>]</w:t>
      </w:r>
      <w:r w:rsidR="00F115D6" w:rsidRPr="00832A82">
        <w:rPr>
          <w:b/>
        </w:rPr>
        <w:t>.</w:t>
      </w:r>
    </w:p>
    <w:p w:rsidR="00F115D6" w:rsidRPr="00832A82" w:rsidRDefault="00F115D6" w:rsidP="00CB39CE">
      <w:pPr>
        <w:spacing w:line="480" w:lineRule="auto"/>
        <w:jc w:val="both"/>
        <w:rPr>
          <w:b/>
        </w:rPr>
      </w:pPr>
      <w:r w:rsidRPr="00832A82">
        <w:rPr>
          <w:b/>
        </w:rPr>
        <w:tab/>
        <w:t xml:space="preserve">At this </w:t>
      </w:r>
      <w:r w:rsidR="00832A82">
        <w:rPr>
          <w:b/>
        </w:rPr>
        <w:t>p</w:t>
      </w:r>
      <w:r w:rsidRPr="00832A82">
        <w:rPr>
          <w:b/>
        </w:rPr>
        <w:t xml:space="preserve">reliminary </w:t>
      </w:r>
      <w:r w:rsidR="00832A82">
        <w:rPr>
          <w:b/>
        </w:rPr>
        <w:t>h</w:t>
      </w:r>
      <w:r w:rsidRPr="00832A82">
        <w:rPr>
          <w:b/>
        </w:rPr>
        <w:t>earing, the victim, Arlene Aguirre, testified that she had been in Hazleton getting shoes for her two (2) young children.  Upon leaving Hazleton, she had a text conversation with her husband, the Defendant, about her returning home to Lansford, Carbon County, PA with the children.  The victim testified that the Defendant suggested she “not bring the kids home”.  When she pressed him for a reason why she shouldn’t bring them home, and asked him if he was going to do anything stupid, he didn’t answer back.</w:t>
      </w:r>
    </w:p>
    <w:p w:rsidR="00F115D6" w:rsidRPr="00832A82" w:rsidRDefault="00F115D6" w:rsidP="00CB39CE">
      <w:pPr>
        <w:spacing w:line="480" w:lineRule="auto"/>
        <w:jc w:val="both"/>
        <w:rPr>
          <w:b/>
        </w:rPr>
      </w:pPr>
      <w:r w:rsidRPr="00832A82">
        <w:rPr>
          <w:b/>
        </w:rPr>
        <w:tab/>
        <w:t xml:space="preserve">The victim further testified that when she and the children did in fact get home, the Defendant was there with a beer in his hand.  The victim testified that her husband was intoxicated.  After both the victim and the Defendant proceeded to </w:t>
      </w:r>
      <w:r w:rsidR="000771D7" w:rsidRPr="00832A82">
        <w:rPr>
          <w:b/>
        </w:rPr>
        <w:t>the upstairs bedroom, the Defendant began to accuse the victim of infidelity, and then</w:t>
      </w:r>
      <w:r w:rsidR="00832A82">
        <w:rPr>
          <w:b/>
        </w:rPr>
        <w:t>,</w:t>
      </w:r>
      <w:r w:rsidR="000771D7" w:rsidRPr="00832A82">
        <w:rPr>
          <w:b/>
        </w:rPr>
        <w:t xml:space="preserve"> according to the victim, the Defendant began punching her in the fac</w:t>
      </w:r>
      <w:r w:rsidR="00832A82">
        <w:rPr>
          <w:b/>
        </w:rPr>
        <w:t>e</w:t>
      </w:r>
      <w:r w:rsidR="000771D7" w:rsidRPr="00832A82">
        <w:rPr>
          <w:b/>
        </w:rPr>
        <w:t xml:space="preserve">.  He eventually threw her to the ground and was “kicking, punching and stomping on every part of her body” while calling her names such as </w:t>
      </w:r>
      <w:r w:rsidR="00832A82">
        <w:rPr>
          <w:b/>
        </w:rPr>
        <w:t>“</w:t>
      </w:r>
      <w:r w:rsidR="000771D7" w:rsidRPr="00832A82">
        <w:rPr>
          <w:b/>
        </w:rPr>
        <w:t>whore</w:t>
      </w:r>
      <w:r w:rsidR="00832A82">
        <w:rPr>
          <w:b/>
        </w:rPr>
        <w:t>”</w:t>
      </w:r>
      <w:r w:rsidR="000771D7" w:rsidRPr="00832A82">
        <w:rPr>
          <w:b/>
        </w:rPr>
        <w:t xml:space="preserve">, </w:t>
      </w:r>
      <w:r w:rsidR="00832A82">
        <w:rPr>
          <w:b/>
        </w:rPr>
        <w:t>“</w:t>
      </w:r>
      <w:r w:rsidR="000771D7" w:rsidRPr="00832A82">
        <w:rPr>
          <w:b/>
        </w:rPr>
        <w:t>bitch</w:t>
      </w:r>
      <w:r w:rsidR="00832A82">
        <w:rPr>
          <w:b/>
        </w:rPr>
        <w:t>”</w:t>
      </w:r>
      <w:r w:rsidR="000771D7" w:rsidRPr="00832A82">
        <w:rPr>
          <w:b/>
        </w:rPr>
        <w:t xml:space="preserve">, </w:t>
      </w:r>
      <w:r w:rsidR="00832A82">
        <w:rPr>
          <w:b/>
        </w:rPr>
        <w:t>“</w:t>
      </w:r>
      <w:r w:rsidR="000771D7" w:rsidRPr="00832A82">
        <w:rPr>
          <w:b/>
        </w:rPr>
        <w:t>liar</w:t>
      </w:r>
      <w:r w:rsidR="00832A82">
        <w:rPr>
          <w:b/>
        </w:rPr>
        <w:t>”</w:t>
      </w:r>
      <w:r w:rsidR="000771D7" w:rsidRPr="00832A82">
        <w:rPr>
          <w:b/>
        </w:rPr>
        <w:t xml:space="preserve"> and </w:t>
      </w:r>
      <w:r w:rsidR="00832A82">
        <w:rPr>
          <w:b/>
        </w:rPr>
        <w:t>“</w:t>
      </w:r>
      <w:r w:rsidR="000771D7" w:rsidRPr="00832A82">
        <w:rPr>
          <w:b/>
        </w:rPr>
        <w:t>slut</w:t>
      </w:r>
      <w:r w:rsidR="00832A82">
        <w:rPr>
          <w:b/>
        </w:rPr>
        <w:t>”</w:t>
      </w:r>
      <w:r w:rsidR="000771D7" w:rsidRPr="00832A82">
        <w:rPr>
          <w:b/>
        </w:rPr>
        <w:t>.  At one point the victim testified that the Defendant dr</w:t>
      </w:r>
      <w:r w:rsidR="00832A82">
        <w:rPr>
          <w:b/>
        </w:rPr>
        <w:t>agged</w:t>
      </w:r>
      <w:r w:rsidR="000771D7" w:rsidRPr="00832A82">
        <w:rPr>
          <w:b/>
        </w:rPr>
        <w:t xml:space="preserve"> her into the bathroom and began to shave her head.  While in the bathroom, the Defendant put his hands around her throat and began to choke her.  The victim was able to break </w:t>
      </w:r>
      <w:r w:rsidR="000771D7" w:rsidRPr="00832A82">
        <w:rPr>
          <w:b/>
        </w:rPr>
        <w:lastRenderedPageBreak/>
        <w:t xml:space="preserve">free and ran </w:t>
      </w:r>
      <w:proofErr w:type="gramStart"/>
      <w:r w:rsidR="000771D7" w:rsidRPr="00832A82">
        <w:rPr>
          <w:b/>
        </w:rPr>
        <w:t>outside</w:t>
      </w:r>
      <w:r w:rsidR="00832A82">
        <w:rPr>
          <w:b/>
        </w:rPr>
        <w:t>,</w:t>
      </w:r>
      <w:proofErr w:type="gramEnd"/>
      <w:r w:rsidR="00832A82">
        <w:rPr>
          <w:b/>
        </w:rPr>
        <w:t xml:space="preserve"> h</w:t>
      </w:r>
      <w:r w:rsidR="000771D7" w:rsidRPr="00832A82">
        <w:rPr>
          <w:b/>
        </w:rPr>
        <w:t xml:space="preserve">owever, she fell to the ground and was dragged back toward the house by the Defendant.  </w:t>
      </w:r>
      <w:r w:rsidR="003621FC">
        <w:rPr>
          <w:b/>
        </w:rPr>
        <w:t>The v</w:t>
      </w:r>
      <w:r w:rsidR="000771D7" w:rsidRPr="00832A82">
        <w:rPr>
          <w:b/>
        </w:rPr>
        <w:t>ictim was able to grab a chair and throw it at the Defendant to break free for good.  She then ran to the neighbor’s house to call the police.</w:t>
      </w:r>
    </w:p>
    <w:p w:rsidR="000771D7" w:rsidRPr="00832A82" w:rsidRDefault="000771D7" w:rsidP="00CB39CE">
      <w:pPr>
        <w:spacing w:line="480" w:lineRule="auto"/>
        <w:jc w:val="both"/>
        <w:rPr>
          <w:b/>
        </w:rPr>
      </w:pPr>
      <w:r w:rsidRPr="00832A82">
        <w:rPr>
          <w:b/>
        </w:rPr>
        <w:tab/>
        <w:t xml:space="preserve">While she waited for the police, the Defendant was outside by his vehicle.  </w:t>
      </w:r>
      <w:r w:rsidR="00832A82">
        <w:rPr>
          <w:b/>
        </w:rPr>
        <w:t>He then</w:t>
      </w:r>
      <w:r w:rsidRPr="00832A82">
        <w:rPr>
          <w:b/>
        </w:rPr>
        <w:t xml:space="preserve"> returned into the house, where after a few minutes, </w:t>
      </w:r>
      <w:r w:rsidR="00832A82">
        <w:rPr>
          <w:b/>
        </w:rPr>
        <w:t xml:space="preserve">he </w:t>
      </w:r>
      <w:r w:rsidRPr="00832A82">
        <w:rPr>
          <w:b/>
        </w:rPr>
        <w:t>exited the home again, got in his vehicle and drove off.  Victim testified that the two young children were still in the house this entire time.  Once the police arrived, the victim returned to the house to retrieve her children.</w:t>
      </w:r>
    </w:p>
    <w:p w:rsidR="000771D7" w:rsidRPr="00832A82" w:rsidRDefault="000771D7" w:rsidP="00CB39CE">
      <w:pPr>
        <w:spacing w:line="480" w:lineRule="auto"/>
        <w:jc w:val="both"/>
        <w:rPr>
          <w:b/>
        </w:rPr>
      </w:pPr>
      <w:r w:rsidRPr="00832A82">
        <w:rPr>
          <w:b/>
        </w:rPr>
        <w:tab/>
        <w:t xml:space="preserve">The victim also testified that as a result of the assault by the Defendant, she suffered multiple scrapes and bruises about her face, legs, hip and ribs, in addition to a swollen lip and right eye necessitating a trip to the hospital.  She also testified that, as a result of being punched in the </w:t>
      </w:r>
      <w:r w:rsidR="00513033" w:rsidRPr="00832A82">
        <w:rPr>
          <w:b/>
        </w:rPr>
        <w:t xml:space="preserve">mouth she suffered damage to her front right tooth that eventually resulted in a diagnosis of </w:t>
      </w:r>
      <w:r w:rsidR="00832A82">
        <w:rPr>
          <w:b/>
        </w:rPr>
        <w:t>the</w:t>
      </w:r>
      <w:r w:rsidR="00513033" w:rsidRPr="00832A82">
        <w:rPr>
          <w:b/>
        </w:rPr>
        <w:t xml:space="preserve"> necessity for a root canal.</w:t>
      </w:r>
    </w:p>
    <w:p w:rsidR="00513033" w:rsidRPr="00832A82" w:rsidRDefault="00513033" w:rsidP="00CB39CE">
      <w:pPr>
        <w:spacing w:line="480" w:lineRule="auto"/>
        <w:jc w:val="both"/>
        <w:rPr>
          <w:b/>
        </w:rPr>
      </w:pPr>
      <w:r w:rsidRPr="00832A82">
        <w:rPr>
          <w:b/>
        </w:rPr>
        <w:tab/>
        <w:t xml:space="preserve">After the Commonwealth presented its evidence at the </w:t>
      </w:r>
      <w:r w:rsidR="00832A82">
        <w:rPr>
          <w:b/>
        </w:rPr>
        <w:t>p</w:t>
      </w:r>
      <w:r w:rsidRPr="00832A82">
        <w:rPr>
          <w:b/>
        </w:rPr>
        <w:t xml:space="preserve">reliminary </w:t>
      </w:r>
      <w:r w:rsidR="00832A82">
        <w:rPr>
          <w:b/>
        </w:rPr>
        <w:t>h</w:t>
      </w:r>
      <w:r w:rsidRPr="00832A82">
        <w:rPr>
          <w:b/>
        </w:rPr>
        <w:t xml:space="preserve">earing, Magistrate District Judge </w:t>
      </w:r>
      <w:proofErr w:type="spellStart"/>
      <w:r w:rsidRPr="00832A82">
        <w:rPr>
          <w:b/>
        </w:rPr>
        <w:t>Kosciolek</w:t>
      </w:r>
      <w:proofErr w:type="spellEnd"/>
      <w:r w:rsidRPr="00832A82">
        <w:rPr>
          <w:b/>
        </w:rPr>
        <w:t xml:space="preserve"> bound all charges over to the Court of Common Pleas.  We are now called upon to review the record to determine the sufficiency of the evidence supporting the Aggravated Assault and Endangering Welfare of Children charges.</w:t>
      </w:r>
    </w:p>
    <w:p w:rsidR="00513033" w:rsidRPr="00832A82" w:rsidRDefault="00513033" w:rsidP="00CB39CE">
      <w:pPr>
        <w:spacing w:line="480" w:lineRule="auto"/>
        <w:jc w:val="both"/>
        <w:rPr>
          <w:b/>
        </w:rPr>
      </w:pPr>
    </w:p>
    <w:p w:rsidR="007E7872" w:rsidRPr="00832A82" w:rsidRDefault="007E7872" w:rsidP="00F56778">
      <w:pPr>
        <w:spacing w:line="480" w:lineRule="auto"/>
        <w:jc w:val="center"/>
        <w:rPr>
          <w:b/>
          <w:u w:val="single"/>
        </w:rPr>
      </w:pPr>
      <w:r w:rsidRPr="00832A82">
        <w:rPr>
          <w:b/>
          <w:u w:val="single"/>
        </w:rPr>
        <w:t>DISCUSSION</w:t>
      </w:r>
    </w:p>
    <w:p w:rsidR="00F56778" w:rsidRPr="00832A82" w:rsidRDefault="00F56778" w:rsidP="00F56778">
      <w:pPr>
        <w:spacing w:line="480" w:lineRule="auto"/>
        <w:jc w:val="both"/>
        <w:rPr>
          <w:b/>
        </w:rPr>
      </w:pPr>
      <w:r w:rsidRPr="00832A82">
        <w:rPr>
          <w:b/>
        </w:rPr>
        <w:tab/>
        <w:t>Defendant has requested that we dismiss</w:t>
      </w:r>
      <w:r w:rsidR="00513033" w:rsidRPr="00832A82">
        <w:rPr>
          <w:b/>
        </w:rPr>
        <w:t xml:space="preserve"> both the Aggravated Assault and Endangering Welfare of Children </w:t>
      </w:r>
      <w:r w:rsidRPr="00832A82">
        <w:rPr>
          <w:b/>
        </w:rPr>
        <w:t xml:space="preserve">charges due to a lack of evidence </w:t>
      </w:r>
      <w:r w:rsidR="00421B57" w:rsidRPr="00832A82">
        <w:rPr>
          <w:b/>
        </w:rPr>
        <w:t>being</w:t>
      </w:r>
      <w:r w:rsidRPr="00832A82">
        <w:rPr>
          <w:b/>
        </w:rPr>
        <w:t xml:space="preserve"> presented at the </w:t>
      </w:r>
      <w:r w:rsidR="00832A82">
        <w:rPr>
          <w:b/>
        </w:rPr>
        <w:t>p</w:t>
      </w:r>
      <w:r w:rsidRPr="00832A82">
        <w:rPr>
          <w:b/>
        </w:rPr>
        <w:t xml:space="preserve">reliminary </w:t>
      </w:r>
      <w:r w:rsidR="00832A82">
        <w:rPr>
          <w:b/>
        </w:rPr>
        <w:t>h</w:t>
      </w:r>
      <w:r w:rsidRPr="00832A82">
        <w:rPr>
          <w:b/>
        </w:rPr>
        <w:t>earing</w:t>
      </w:r>
      <w:r w:rsidR="00832A82">
        <w:rPr>
          <w:b/>
        </w:rPr>
        <w:t>, as well as that evidence present</w:t>
      </w:r>
      <w:r w:rsidR="003621FC">
        <w:rPr>
          <w:b/>
        </w:rPr>
        <w:t>ed</w:t>
      </w:r>
      <w:r w:rsidR="00832A82">
        <w:rPr>
          <w:b/>
        </w:rPr>
        <w:t xml:space="preserve"> at </w:t>
      </w:r>
      <w:r w:rsidR="00513033" w:rsidRPr="00832A82">
        <w:rPr>
          <w:b/>
        </w:rPr>
        <w:t xml:space="preserve">the hearing held before this Court on </w:t>
      </w:r>
      <w:r w:rsidR="00EC3D28" w:rsidRPr="00832A82">
        <w:rPr>
          <w:b/>
        </w:rPr>
        <w:t>April 23, 2012</w:t>
      </w:r>
      <w:r w:rsidR="00EC3D28" w:rsidRPr="00832A82">
        <w:rPr>
          <w:rStyle w:val="FootnoteReference"/>
          <w:b/>
        </w:rPr>
        <w:footnoteReference w:id="1"/>
      </w:r>
      <w:r w:rsidRPr="00832A82">
        <w:rPr>
          <w:b/>
        </w:rPr>
        <w:t>.</w:t>
      </w:r>
    </w:p>
    <w:p w:rsidR="00210236" w:rsidRPr="00832A82" w:rsidRDefault="00455214" w:rsidP="00F56778">
      <w:pPr>
        <w:ind w:left="1440"/>
        <w:jc w:val="both"/>
        <w:rPr>
          <w:b/>
        </w:rPr>
      </w:pPr>
      <w:r w:rsidRPr="00832A82">
        <w:rPr>
          <w:b/>
        </w:rPr>
        <w:t>“</w:t>
      </w:r>
      <w:r w:rsidR="00F56778" w:rsidRPr="00832A82">
        <w:rPr>
          <w:b/>
        </w:rPr>
        <w:t xml:space="preserve">The basic principles of law with respect to the purpose of a preliminary hearing is well established, the principal function of which is to protect an </w:t>
      </w:r>
      <w:proofErr w:type="spellStart"/>
      <w:r w:rsidR="00F56778" w:rsidRPr="00832A82">
        <w:rPr>
          <w:b/>
        </w:rPr>
        <w:t>accused’s</w:t>
      </w:r>
      <w:proofErr w:type="spellEnd"/>
      <w:r w:rsidR="00F56778" w:rsidRPr="00832A82">
        <w:rPr>
          <w:b/>
        </w:rPr>
        <w:t xml:space="preserve"> rights against an unlawful arrest and detention.  At</w:t>
      </w:r>
      <w:r w:rsidR="00732D80" w:rsidRPr="00832A82">
        <w:rPr>
          <w:b/>
        </w:rPr>
        <w:t xml:space="preserve"> this stage of the process, the burden of showing that a prima facie case has been established, i.e., that a crime has been committed and the accused is probably the one who committed </w:t>
      </w:r>
      <w:proofErr w:type="gramStart"/>
      <w:r w:rsidR="00732D80" w:rsidRPr="00832A82">
        <w:rPr>
          <w:b/>
        </w:rPr>
        <w:t>it,</w:t>
      </w:r>
      <w:proofErr w:type="gramEnd"/>
      <w:r w:rsidR="00732D80" w:rsidRPr="00832A82">
        <w:rPr>
          <w:b/>
        </w:rPr>
        <w:t xml:space="preserve"> falls squarely on the Commonwealth.  In order to meet that</w:t>
      </w:r>
      <w:r w:rsidR="00210236" w:rsidRPr="00832A82">
        <w:rPr>
          <w:b/>
        </w:rPr>
        <w:t xml:space="preserve"> burden the Commonwealth is required to present evidence with regard to each of the material elements of the charge and to establish</w:t>
      </w:r>
      <w:r w:rsidR="00ED0DBE" w:rsidRPr="00832A82">
        <w:rPr>
          <w:b/>
        </w:rPr>
        <w:t xml:space="preserve"> probable </w:t>
      </w:r>
      <w:r w:rsidR="00210236" w:rsidRPr="00832A82">
        <w:rPr>
          <w:b/>
        </w:rPr>
        <w:t>cause to believe the accused committed the crime</w:t>
      </w:r>
      <w:r w:rsidRPr="00832A82">
        <w:rPr>
          <w:b/>
        </w:rPr>
        <w:t>”.</w:t>
      </w:r>
    </w:p>
    <w:p w:rsidR="00210236" w:rsidRPr="00832A82" w:rsidRDefault="00210236" w:rsidP="00F56778">
      <w:pPr>
        <w:ind w:left="1440"/>
        <w:jc w:val="both"/>
        <w:rPr>
          <w:b/>
        </w:rPr>
      </w:pPr>
    </w:p>
    <w:p w:rsidR="00210236" w:rsidRPr="00832A82" w:rsidRDefault="00210236" w:rsidP="00210236">
      <w:pPr>
        <w:spacing w:line="480" w:lineRule="auto"/>
        <w:jc w:val="both"/>
        <w:rPr>
          <w:b/>
        </w:rPr>
      </w:pPr>
      <w:r w:rsidRPr="00832A82">
        <w:rPr>
          <w:b/>
        </w:rPr>
        <w:tab/>
      </w:r>
      <w:r w:rsidRPr="00832A82">
        <w:rPr>
          <w:b/>
          <w:u w:val="single"/>
        </w:rPr>
        <w:t>Commonwealth v. McBride</w:t>
      </w:r>
      <w:r w:rsidRPr="00832A82">
        <w:rPr>
          <w:b/>
        </w:rPr>
        <w:t xml:space="preserve">, 528 Pa. 153. </w:t>
      </w:r>
      <w:proofErr w:type="gramStart"/>
      <w:r w:rsidRPr="00832A82">
        <w:rPr>
          <w:b/>
        </w:rPr>
        <w:t>(1991) (Citations omitted</w:t>
      </w:r>
      <w:r w:rsidR="00EF56EF" w:rsidRPr="00832A82">
        <w:rPr>
          <w:b/>
        </w:rPr>
        <w:t>)</w:t>
      </w:r>
      <w:r w:rsidRPr="00832A82">
        <w:rPr>
          <w:b/>
        </w:rPr>
        <w:t>.</w:t>
      </w:r>
      <w:proofErr w:type="gramEnd"/>
    </w:p>
    <w:p w:rsidR="00ED0DBE" w:rsidRPr="00832A82" w:rsidRDefault="00210236" w:rsidP="00210236">
      <w:pPr>
        <w:spacing w:line="480" w:lineRule="auto"/>
        <w:jc w:val="both"/>
        <w:rPr>
          <w:b/>
        </w:rPr>
      </w:pPr>
      <w:r w:rsidRPr="00832A82">
        <w:rPr>
          <w:b/>
        </w:rPr>
        <w:tab/>
        <w:t xml:space="preserve">In passing judgment on </w:t>
      </w:r>
      <w:r w:rsidR="00832A82">
        <w:rPr>
          <w:b/>
        </w:rPr>
        <w:t>a</w:t>
      </w:r>
      <w:r w:rsidRPr="00832A82">
        <w:rPr>
          <w:b/>
        </w:rPr>
        <w:t xml:space="preserve"> Writ of Habeas Corpus and </w:t>
      </w:r>
      <w:r w:rsidR="00832A82">
        <w:rPr>
          <w:b/>
        </w:rPr>
        <w:t>a</w:t>
      </w:r>
      <w:r w:rsidRPr="00832A82">
        <w:rPr>
          <w:b/>
        </w:rPr>
        <w:t xml:space="preserve"> challenge to the prima facie case, we are required to view all evidence</w:t>
      </w:r>
      <w:r w:rsidR="00ED0DBE" w:rsidRPr="00832A82">
        <w:rPr>
          <w:b/>
        </w:rPr>
        <w:t xml:space="preserve"> in the light most favorable to the Commonwealth.  </w:t>
      </w:r>
      <w:proofErr w:type="gramStart"/>
      <w:r w:rsidR="00ED0DBE" w:rsidRPr="00832A82">
        <w:rPr>
          <w:b/>
          <w:u w:val="single"/>
        </w:rPr>
        <w:t>Commonwealth v. Packard</w:t>
      </w:r>
      <w:r w:rsidR="00ED0DBE" w:rsidRPr="00832A82">
        <w:rPr>
          <w:b/>
        </w:rPr>
        <w:t>, 767 A2d 1068, 1070 (</w:t>
      </w:r>
      <w:proofErr w:type="spellStart"/>
      <w:r w:rsidR="00ED0DBE" w:rsidRPr="00832A82">
        <w:rPr>
          <w:b/>
        </w:rPr>
        <w:t>Pa.Super</w:t>
      </w:r>
      <w:proofErr w:type="spellEnd"/>
      <w:r w:rsidR="00ED0DBE" w:rsidRPr="00832A82">
        <w:rPr>
          <w:b/>
        </w:rPr>
        <w:t>. 2001).</w:t>
      </w:r>
      <w:proofErr w:type="gramEnd"/>
    </w:p>
    <w:p w:rsidR="00ED0DBE" w:rsidRPr="00832A82" w:rsidRDefault="00ED0DBE" w:rsidP="00210236">
      <w:pPr>
        <w:spacing w:line="480" w:lineRule="auto"/>
        <w:jc w:val="both"/>
        <w:rPr>
          <w:b/>
        </w:rPr>
      </w:pPr>
    </w:p>
    <w:p w:rsidR="00ED0DBE" w:rsidRPr="00832A82" w:rsidRDefault="00D1109A" w:rsidP="00210236">
      <w:pPr>
        <w:spacing w:line="480" w:lineRule="auto"/>
        <w:jc w:val="both"/>
        <w:rPr>
          <w:b/>
          <w:u w:val="single"/>
        </w:rPr>
      </w:pPr>
      <w:r w:rsidRPr="00832A82">
        <w:rPr>
          <w:b/>
          <w:u w:val="single"/>
        </w:rPr>
        <w:lastRenderedPageBreak/>
        <w:t>AGGRAVATED ASSAULT</w:t>
      </w:r>
      <w:r w:rsidR="00ED0DBE" w:rsidRPr="00832A82">
        <w:rPr>
          <w:b/>
          <w:u w:val="single"/>
        </w:rPr>
        <w:t xml:space="preserve"> – </w:t>
      </w:r>
      <w:proofErr w:type="gramStart"/>
      <w:r w:rsidR="00ED0DBE" w:rsidRPr="00832A82">
        <w:rPr>
          <w:b/>
          <w:u w:val="single"/>
        </w:rPr>
        <w:t xml:space="preserve">18 </w:t>
      </w:r>
      <w:proofErr w:type="spellStart"/>
      <w:r w:rsidR="00ED0DBE" w:rsidRPr="00832A82">
        <w:rPr>
          <w:b/>
          <w:u w:val="single"/>
        </w:rPr>
        <w:t>Pa.C.S.A</w:t>
      </w:r>
      <w:proofErr w:type="spellEnd"/>
      <w:proofErr w:type="gramEnd"/>
      <w:r w:rsidR="00ED0DBE" w:rsidRPr="00832A82">
        <w:rPr>
          <w:b/>
          <w:u w:val="single"/>
        </w:rPr>
        <w:t xml:space="preserve">. </w:t>
      </w:r>
      <w:r w:rsidR="00ED0DBE" w:rsidRPr="00832A82">
        <w:rPr>
          <w:rFonts w:cs="Courier New"/>
          <w:b/>
          <w:u w:val="single"/>
        </w:rPr>
        <w:t>§</w:t>
      </w:r>
      <w:r w:rsidRPr="00832A82">
        <w:rPr>
          <w:rFonts w:cs="Courier New"/>
          <w:b/>
          <w:u w:val="single"/>
        </w:rPr>
        <w:t>2702</w:t>
      </w:r>
      <w:r w:rsidR="00ED0DBE" w:rsidRPr="00832A82">
        <w:rPr>
          <w:b/>
          <w:u w:val="single"/>
        </w:rPr>
        <w:t>(</w:t>
      </w:r>
      <w:r w:rsidRPr="00832A82">
        <w:rPr>
          <w:b/>
          <w:u w:val="single"/>
        </w:rPr>
        <w:t>a</w:t>
      </w:r>
      <w:proofErr w:type="gramStart"/>
      <w:r w:rsidR="00ED0DBE" w:rsidRPr="00832A82">
        <w:rPr>
          <w:b/>
          <w:u w:val="single"/>
        </w:rPr>
        <w:t>)</w:t>
      </w:r>
      <w:r w:rsidRPr="00832A82">
        <w:rPr>
          <w:b/>
          <w:u w:val="single"/>
        </w:rPr>
        <w:t>(</w:t>
      </w:r>
      <w:proofErr w:type="gramEnd"/>
      <w:r w:rsidRPr="00832A82">
        <w:rPr>
          <w:b/>
          <w:u w:val="single"/>
        </w:rPr>
        <w:t>1)</w:t>
      </w:r>
    </w:p>
    <w:p w:rsidR="00ED0DBE" w:rsidRPr="00832A82" w:rsidRDefault="00ED0DBE" w:rsidP="00210236">
      <w:pPr>
        <w:spacing w:line="480" w:lineRule="auto"/>
        <w:jc w:val="both"/>
        <w:rPr>
          <w:b/>
        </w:rPr>
      </w:pPr>
      <w:r w:rsidRPr="00832A82">
        <w:rPr>
          <w:b/>
        </w:rPr>
        <w:tab/>
      </w:r>
      <w:r w:rsidRPr="00832A82">
        <w:rPr>
          <w:rFonts w:cs="Courier New"/>
          <w:b/>
        </w:rPr>
        <w:t>§</w:t>
      </w:r>
      <w:r w:rsidR="00D1109A" w:rsidRPr="00832A82">
        <w:rPr>
          <w:rFonts w:cs="Courier New"/>
          <w:b/>
        </w:rPr>
        <w:t>2702(a</w:t>
      </w:r>
      <w:proofErr w:type="gramStart"/>
      <w:r w:rsidR="00D1109A" w:rsidRPr="00832A82">
        <w:rPr>
          <w:rFonts w:cs="Courier New"/>
          <w:b/>
        </w:rPr>
        <w:t>)(</w:t>
      </w:r>
      <w:proofErr w:type="gramEnd"/>
      <w:r w:rsidR="00D1109A" w:rsidRPr="00832A82">
        <w:rPr>
          <w:rFonts w:cs="Courier New"/>
          <w:b/>
        </w:rPr>
        <w:t>1)</w:t>
      </w:r>
      <w:r w:rsidRPr="00832A82">
        <w:rPr>
          <w:b/>
        </w:rPr>
        <w:t>5121 provides in relevant part that:</w:t>
      </w:r>
    </w:p>
    <w:p w:rsidR="00F56778" w:rsidRPr="00832A82" w:rsidRDefault="00D1109A" w:rsidP="00ED0DBE">
      <w:pPr>
        <w:ind w:left="1530"/>
        <w:jc w:val="both"/>
        <w:rPr>
          <w:b/>
        </w:rPr>
      </w:pPr>
      <w:r w:rsidRPr="00832A82">
        <w:rPr>
          <w:b/>
        </w:rPr>
        <w:t>“A person is guilty of Aggravated Assault if he: (1) attempts to cause serious bodily injury to another, or causes such injury intentionally, knowingly or recklessly under circumstances manifesting extreme indifference to the value of human life</w:t>
      </w:r>
      <w:r w:rsidR="00D43ED7" w:rsidRPr="00832A82">
        <w:rPr>
          <w:b/>
        </w:rPr>
        <w:t>.”</w:t>
      </w:r>
    </w:p>
    <w:p w:rsidR="00A61513" w:rsidRPr="00832A82" w:rsidRDefault="00A61513" w:rsidP="00ED0DBE">
      <w:pPr>
        <w:ind w:left="1530"/>
        <w:jc w:val="both"/>
        <w:rPr>
          <w:b/>
        </w:rPr>
      </w:pPr>
    </w:p>
    <w:p w:rsidR="00455214" w:rsidRPr="00832A82" w:rsidRDefault="00455214" w:rsidP="00ED0DBE">
      <w:pPr>
        <w:ind w:left="1530"/>
        <w:jc w:val="both"/>
        <w:rPr>
          <w:b/>
        </w:rPr>
      </w:pPr>
    </w:p>
    <w:p w:rsidR="00A61513" w:rsidRPr="00832A82" w:rsidRDefault="00455214" w:rsidP="00455214">
      <w:pPr>
        <w:jc w:val="both"/>
        <w:rPr>
          <w:b/>
        </w:rPr>
      </w:pPr>
      <w:r w:rsidRPr="00832A82">
        <w:rPr>
          <w:b/>
        </w:rPr>
        <w:t xml:space="preserve">     </w:t>
      </w:r>
      <w:proofErr w:type="gramStart"/>
      <w:r w:rsidR="00903567" w:rsidRPr="00832A82">
        <w:rPr>
          <w:b/>
        </w:rPr>
        <w:t xml:space="preserve">18 </w:t>
      </w:r>
      <w:proofErr w:type="spellStart"/>
      <w:r w:rsidR="00903567" w:rsidRPr="00832A82">
        <w:rPr>
          <w:b/>
        </w:rPr>
        <w:t>Pa.C.S.A</w:t>
      </w:r>
      <w:proofErr w:type="spellEnd"/>
      <w:r w:rsidR="00903567" w:rsidRPr="00832A82">
        <w:rPr>
          <w:b/>
        </w:rPr>
        <w:t>.</w:t>
      </w:r>
      <w:proofErr w:type="gramEnd"/>
      <w:r w:rsidR="00903567" w:rsidRPr="00832A82">
        <w:rPr>
          <w:b/>
        </w:rPr>
        <w:t xml:space="preserve"> </w:t>
      </w:r>
      <w:r w:rsidR="00903567" w:rsidRPr="00832A82">
        <w:rPr>
          <w:rFonts w:cs="Courier New"/>
          <w:b/>
        </w:rPr>
        <w:t>§</w:t>
      </w:r>
      <w:r w:rsidR="00D43ED7" w:rsidRPr="00832A82">
        <w:rPr>
          <w:rFonts w:cs="Courier New"/>
          <w:b/>
        </w:rPr>
        <w:t>2702(a</w:t>
      </w:r>
      <w:proofErr w:type="gramStart"/>
      <w:r w:rsidR="00D43ED7" w:rsidRPr="00832A82">
        <w:rPr>
          <w:rFonts w:cs="Courier New"/>
          <w:b/>
        </w:rPr>
        <w:t>)(</w:t>
      </w:r>
      <w:proofErr w:type="gramEnd"/>
      <w:r w:rsidR="00D43ED7" w:rsidRPr="00832A82">
        <w:rPr>
          <w:rFonts w:cs="Courier New"/>
          <w:b/>
        </w:rPr>
        <w:t>1)</w:t>
      </w:r>
    </w:p>
    <w:p w:rsidR="00903567" w:rsidRPr="00832A82" w:rsidRDefault="00903567" w:rsidP="00455214">
      <w:pPr>
        <w:jc w:val="both"/>
        <w:rPr>
          <w:b/>
        </w:rPr>
      </w:pPr>
    </w:p>
    <w:p w:rsidR="00D43ED7" w:rsidRPr="00832A82" w:rsidRDefault="00D43ED7" w:rsidP="00D43ED7">
      <w:pPr>
        <w:ind w:left="1530"/>
        <w:jc w:val="both"/>
        <w:rPr>
          <w:b/>
        </w:rPr>
      </w:pPr>
    </w:p>
    <w:p w:rsidR="00D43ED7" w:rsidRDefault="00D43ED7" w:rsidP="00E953B5">
      <w:pPr>
        <w:ind w:firstLine="720"/>
        <w:jc w:val="both"/>
        <w:rPr>
          <w:b/>
        </w:rPr>
      </w:pPr>
      <w:r w:rsidRPr="00832A82">
        <w:rPr>
          <w:b/>
        </w:rPr>
        <w:t>Serious bodily injury is defined as:</w:t>
      </w:r>
    </w:p>
    <w:p w:rsidR="00E953B5" w:rsidRPr="00832A82" w:rsidRDefault="00E953B5" w:rsidP="00E953B5">
      <w:pPr>
        <w:ind w:firstLine="720"/>
        <w:jc w:val="both"/>
        <w:rPr>
          <w:b/>
        </w:rPr>
      </w:pPr>
    </w:p>
    <w:p w:rsidR="00D43ED7" w:rsidRPr="00832A82" w:rsidRDefault="00D43ED7" w:rsidP="00D43ED7">
      <w:pPr>
        <w:ind w:left="1530"/>
        <w:jc w:val="both"/>
        <w:rPr>
          <w:b/>
        </w:rPr>
      </w:pPr>
      <w:proofErr w:type="gramStart"/>
      <w:r w:rsidRPr="00832A82">
        <w:rPr>
          <w:b/>
        </w:rPr>
        <w:t>“Bodily injury which creates a substantial risk of death or which causes serious, permanent disfigurement or protracted loss or impairment of the function of any bodily member or organ.”</w:t>
      </w:r>
      <w:proofErr w:type="gramEnd"/>
    </w:p>
    <w:p w:rsidR="00D43ED7" w:rsidRPr="00832A82" w:rsidRDefault="00D43ED7" w:rsidP="00D43ED7">
      <w:pPr>
        <w:ind w:left="1530"/>
        <w:jc w:val="both"/>
        <w:rPr>
          <w:b/>
        </w:rPr>
      </w:pPr>
    </w:p>
    <w:p w:rsidR="00D43ED7" w:rsidRPr="00832A82" w:rsidRDefault="00D43ED7" w:rsidP="00D43ED7">
      <w:pPr>
        <w:jc w:val="both"/>
        <w:rPr>
          <w:b/>
        </w:rPr>
      </w:pPr>
      <w:r w:rsidRPr="00832A82">
        <w:rPr>
          <w:b/>
        </w:rPr>
        <w:tab/>
      </w:r>
      <w:proofErr w:type="gramStart"/>
      <w:r w:rsidRPr="00832A82">
        <w:rPr>
          <w:b/>
        </w:rPr>
        <w:t xml:space="preserve">18 </w:t>
      </w:r>
      <w:proofErr w:type="spellStart"/>
      <w:r w:rsidRPr="00832A82">
        <w:rPr>
          <w:b/>
        </w:rPr>
        <w:t>Pa.C.S.A</w:t>
      </w:r>
      <w:proofErr w:type="spellEnd"/>
      <w:r w:rsidRPr="00832A82">
        <w:rPr>
          <w:b/>
        </w:rPr>
        <w:t>.</w:t>
      </w:r>
      <w:proofErr w:type="gramEnd"/>
      <w:r w:rsidRPr="00832A82">
        <w:rPr>
          <w:b/>
        </w:rPr>
        <w:t xml:space="preserve"> </w:t>
      </w:r>
      <w:r w:rsidRPr="00832A82">
        <w:rPr>
          <w:rFonts w:cs="Courier New"/>
          <w:b/>
        </w:rPr>
        <w:t>§</w:t>
      </w:r>
      <w:r w:rsidRPr="00832A82">
        <w:rPr>
          <w:b/>
        </w:rPr>
        <w:t>2301.</w:t>
      </w:r>
    </w:p>
    <w:p w:rsidR="00D43ED7" w:rsidRPr="00832A82" w:rsidRDefault="00D43ED7" w:rsidP="00D43ED7">
      <w:pPr>
        <w:jc w:val="both"/>
        <w:rPr>
          <w:b/>
        </w:rPr>
      </w:pPr>
    </w:p>
    <w:p w:rsidR="00D43ED7" w:rsidRPr="00832A82" w:rsidRDefault="00D43ED7" w:rsidP="00D43ED7">
      <w:pPr>
        <w:jc w:val="both"/>
        <w:rPr>
          <w:b/>
        </w:rPr>
      </w:pPr>
      <w:r w:rsidRPr="00832A82">
        <w:rPr>
          <w:b/>
        </w:rPr>
        <w:tab/>
      </w:r>
    </w:p>
    <w:p w:rsidR="00903567" w:rsidRPr="00832A82" w:rsidRDefault="00D43ED7" w:rsidP="00D43ED7">
      <w:pPr>
        <w:spacing w:line="480" w:lineRule="auto"/>
        <w:jc w:val="both"/>
        <w:rPr>
          <w:b/>
        </w:rPr>
      </w:pPr>
      <w:r w:rsidRPr="00832A82">
        <w:rPr>
          <w:b/>
        </w:rPr>
        <w:tab/>
        <w:t xml:space="preserve">The question before the Court is, did the Commonwealth present a prima facie case against the Defendant as to whether or not his conduct </w:t>
      </w:r>
      <w:r w:rsidRPr="00832A82">
        <w:rPr>
          <w:b/>
          <w:u w:val="single"/>
        </w:rPr>
        <w:t>caused</w:t>
      </w:r>
      <w:r w:rsidRPr="00832A82">
        <w:rPr>
          <w:b/>
        </w:rPr>
        <w:t xml:space="preserve"> serious bodily injury or his actions were such that, taken as a whole, he </w:t>
      </w:r>
      <w:r w:rsidRPr="00832A82">
        <w:rPr>
          <w:b/>
          <w:u w:val="single"/>
        </w:rPr>
        <w:t>attempted</w:t>
      </w:r>
      <w:r w:rsidRPr="00832A82">
        <w:rPr>
          <w:b/>
        </w:rPr>
        <w:t xml:space="preserve"> to cause serious bodily injury?</w:t>
      </w:r>
    </w:p>
    <w:p w:rsidR="004612D7" w:rsidRPr="00832A82" w:rsidRDefault="00D43ED7" w:rsidP="00D43ED7">
      <w:pPr>
        <w:ind w:left="1530"/>
        <w:jc w:val="both"/>
        <w:rPr>
          <w:b/>
        </w:rPr>
      </w:pPr>
      <w:r w:rsidRPr="00832A82">
        <w:rPr>
          <w:b/>
        </w:rPr>
        <w:t xml:space="preserve">“A person </w:t>
      </w:r>
      <w:r w:rsidR="004612D7" w:rsidRPr="00832A82">
        <w:rPr>
          <w:b/>
        </w:rPr>
        <w:t>commits an attempt when, with intent to commit a specific crime, he does any act which constitutes a substantial step toward the commission of that crime.”</w:t>
      </w:r>
    </w:p>
    <w:p w:rsidR="004612D7" w:rsidRPr="00832A82" w:rsidRDefault="004612D7" w:rsidP="00D43ED7">
      <w:pPr>
        <w:ind w:left="1530"/>
        <w:jc w:val="both"/>
        <w:rPr>
          <w:b/>
        </w:rPr>
      </w:pPr>
    </w:p>
    <w:p w:rsidR="004612D7" w:rsidRPr="00832A82" w:rsidRDefault="004612D7" w:rsidP="004612D7">
      <w:pPr>
        <w:ind w:left="810"/>
        <w:jc w:val="both"/>
        <w:rPr>
          <w:b/>
        </w:rPr>
      </w:pPr>
      <w:proofErr w:type="gramStart"/>
      <w:r w:rsidRPr="00832A82">
        <w:rPr>
          <w:b/>
        </w:rPr>
        <w:t xml:space="preserve">18 </w:t>
      </w:r>
      <w:proofErr w:type="spellStart"/>
      <w:r w:rsidRPr="00832A82">
        <w:rPr>
          <w:b/>
        </w:rPr>
        <w:t>Pa.C.S.A</w:t>
      </w:r>
      <w:proofErr w:type="spellEnd"/>
      <w:r w:rsidRPr="00832A82">
        <w:rPr>
          <w:b/>
        </w:rPr>
        <w:t>.</w:t>
      </w:r>
      <w:proofErr w:type="gramEnd"/>
      <w:r w:rsidRPr="00832A82">
        <w:rPr>
          <w:b/>
        </w:rPr>
        <w:t xml:space="preserve"> </w:t>
      </w:r>
      <w:r w:rsidRPr="00832A82">
        <w:rPr>
          <w:rFonts w:cs="Courier New"/>
          <w:b/>
        </w:rPr>
        <w:t>§</w:t>
      </w:r>
      <w:r w:rsidRPr="00832A82">
        <w:rPr>
          <w:b/>
        </w:rPr>
        <w:t>901(a).</w:t>
      </w:r>
    </w:p>
    <w:p w:rsidR="004612D7" w:rsidRPr="00832A82" w:rsidRDefault="004612D7" w:rsidP="004612D7">
      <w:pPr>
        <w:ind w:left="810"/>
        <w:jc w:val="both"/>
        <w:rPr>
          <w:b/>
        </w:rPr>
      </w:pPr>
    </w:p>
    <w:p w:rsidR="004612D7" w:rsidRPr="00832A82" w:rsidRDefault="004612D7" w:rsidP="004612D7">
      <w:pPr>
        <w:ind w:left="810"/>
        <w:jc w:val="both"/>
        <w:rPr>
          <w:b/>
        </w:rPr>
      </w:pPr>
    </w:p>
    <w:p w:rsidR="004612D7" w:rsidRPr="00832A82" w:rsidRDefault="004612D7" w:rsidP="004612D7">
      <w:pPr>
        <w:spacing w:line="480" w:lineRule="auto"/>
        <w:ind w:firstLine="720"/>
        <w:jc w:val="both"/>
        <w:rPr>
          <w:b/>
        </w:rPr>
      </w:pPr>
      <w:r w:rsidRPr="00832A82">
        <w:rPr>
          <w:b/>
        </w:rPr>
        <w:t xml:space="preserve">An attempt requires a showing of some act, albeit not one causing serious </w:t>
      </w:r>
      <w:r w:rsidR="0062357A" w:rsidRPr="00832A82">
        <w:rPr>
          <w:b/>
        </w:rPr>
        <w:t xml:space="preserve">bodily injury, accompanied by </w:t>
      </w:r>
      <w:proofErr w:type="gramStart"/>
      <w:r w:rsidR="0062357A" w:rsidRPr="00832A82">
        <w:rPr>
          <w:b/>
        </w:rPr>
        <w:t>an intent</w:t>
      </w:r>
      <w:proofErr w:type="gramEnd"/>
      <w:r w:rsidR="0062357A" w:rsidRPr="00832A82">
        <w:rPr>
          <w:b/>
        </w:rPr>
        <w:t xml:space="preserve"> to inflict serious bodily injury.  </w:t>
      </w:r>
      <w:proofErr w:type="gramStart"/>
      <w:r w:rsidR="0062357A" w:rsidRPr="00832A82">
        <w:rPr>
          <w:b/>
          <w:u w:val="single"/>
        </w:rPr>
        <w:t>Commonwealth v. Alexander</w:t>
      </w:r>
      <w:r w:rsidR="0062357A" w:rsidRPr="00832A82">
        <w:rPr>
          <w:b/>
        </w:rPr>
        <w:t xml:space="preserve">, 383 </w:t>
      </w:r>
      <w:r w:rsidR="0062357A" w:rsidRPr="00832A82">
        <w:rPr>
          <w:b/>
        </w:rPr>
        <w:lastRenderedPageBreak/>
        <w:t>A2d 887, 889 (1978).</w:t>
      </w:r>
      <w:proofErr w:type="gramEnd"/>
      <w:r w:rsidR="0062357A" w:rsidRPr="00832A82">
        <w:rPr>
          <w:b/>
        </w:rPr>
        <w:t xml:space="preserve">  A person acts intentionally with respect to a material element of an offense when it is his conscious object to engage in conduct of that nature or to cause such a result.  </w:t>
      </w:r>
      <w:proofErr w:type="gramStart"/>
      <w:r w:rsidR="0062357A" w:rsidRPr="00832A82">
        <w:rPr>
          <w:b/>
        </w:rPr>
        <w:t xml:space="preserve">18 </w:t>
      </w:r>
      <w:proofErr w:type="spellStart"/>
      <w:r w:rsidR="0062357A" w:rsidRPr="00832A82">
        <w:rPr>
          <w:b/>
        </w:rPr>
        <w:t>Pa.C.</w:t>
      </w:r>
      <w:r w:rsidR="005D1788" w:rsidRPr="00832A82">
        <w:rPr>
          <w:b/>
        </w:rPr>
        <w:t>S.A</w:t>
      </w:r>
      <w:proofErr w:type="spellEnd"/>
      <w:r w:rsidR="005D1788" w:rsidRPr="00832A82">
        <w:rPr>
          <w:b/>
        </w:rPr>
        <w:t>.</w:t>
      </w:r>
      <w:proofErr w:type="gramEnd"/>
      <w:r w:rsidR="005D1788" w:rsidRPr="00832A82">
        <w:rPr>
          <w:b/>
        </w:rPr>
        <w:t xml:space="preserve"> </w:t>
      </w:r>
      <w:r w:rsidR="005D1788" w:rsidRPr="00832A82">
        <w:rPr>
          <w:rFonts w:cs="Courier New"/>
          <w:b/>
        </w:rPr>
        <w:t>§</w:t>
      </w:r>
      <w:r w:rsidR="005D1788" w:rsidRPr="00832A82">
        <w:rPr>
          <w:b/>
        </w:rPr>
        <w:t>302(b</w:t>
      </w:r>
      <w:proofErr w:type="gramStart"/>
      <w:r w:rsidR="005D1788" w:rsidRPr="00832A82">
        <w:rPr>
          <w:b/>
        </w:rPr>
        <w:t>)(</w:t>
      </w:r>
      <w:proofErr w:type="gramEnd"/>
      <w:r w:rsidR="005D1788" w:rsidRPr="00832A82">
        <w:rPr>
          <w:b/>
        </w:rPr>
        <w:t>1)(</w:t>
      </w:r>
      <w:proofErr w:type="spellStart"/>
      <w:r w:rsidR="005D1788" w:rsidRPr="00832A82">
        <w:rPr>
          <w:b/>
        </w:rPr>
        <w:t>i</w:t>
      </w:r>
      <w:proofErr w:type="spellEnd"/>
      <w:r w:rsidR="005D1788" w:rsidRPr="00832A82">
        <w:rPr>
          <w:b/>
        </w:rPr>
        <w:t>).</w:t>
      </w:r>
    </w:p>
    <w:p w:rsidR="005D1788" w:rsidRPr="00832A82" w:rsidRDefault="005D1788" w:rsidP="004612D7">
      <w:pPr>
        <w:spacing w:line="480" w:lineRule="auto"/>
        <w:ind w:firstLine="720"/>
        <w:jc w:val="both"/>
        <w:rPr>
          <w:b/>
        </w:rPr>
      </w:pPr>
      <w:r w:rsidRPr="00832A82">
        <w:rPr>
          <w:b/>
        </w:rPr>
        <w:t xml:space="preserve">Aggravated assault does not require proof that serious bodily injury was inflicted, but only that an attempt was made to cause such injury.  </w:t>
      </w:r>
      <w:proofErr w:type="gramStart"/>
      <w:r w:rsidRPr="00832A82">
        <w:rPr>
          <w:b/>
          <w:u w:val="single"/>
        </w:rPr>
        <w:t>Commonwealth v. Rosado</w:t>
      </w:r>
      <w:r w:rsidRPr="00832A82">
        <w:rPr>
          <w:b/>
        </w:rPr>
        <w:t>, 684 A2d 605.</w:t>
      </w:r>
      <w:proofErr w:type="gramEnd"/>
      <w:r w:rsidRPr="00832A82">
        <w:rPr>
          <w:b/>
        </w:rPr>
        <w:t xml:space="preserve"> </w:t>
      </w:r>
      <w:proofErr w:type="gramStart"/>
      <w:r w:rsidRPr="00832A82">
        <w:rPr>
          <w:b/>
        </w:rPr>
        <w:t>608 (</w:t>
      </w:r>
      <w:proofErr w:type="spellStart"/>
      <w:r w:rsidRPr="00832A82">
        <w:rPr>
          <w:b/>
        </w:rPr>
        <w:t>Pa.Super</w:t>
      </w:r>
      <w:proofErr w:type="spellEnd"/>
      <w:r w:rsidRPr="00832A82">
        <w:rPr>
          <w:b/>
        </w:rPr>
        <w:t>. 1996).</w:t>
      </w:r>
      <w:proofErr w:type="gramEnd"/>
      <w:r w:rsidRPr="00832A82">
        <w:rPr>
          <w:b/>
        </w:rPr>
        <w:t xml:space="preserve">  Where the victim does not sustain serious bodily injury, the Commonwealth must prove that the Defendant acted with specific intent to cause serious bodily injury.  </w:t>
      </w:r>
      <w:proofErr w:type="gramStart"/>
      <w:r w:rsidRPr="00832A82">
        <w:rPr>
          <w:b/>
          <w:u w:val="single"/>
        </w:rPr>
        <w:t>Commonwealth v. Dailey</w:t>
      </w:r>
      <w:r w:rsidRPr="00832A82">
        <w:rPr>
          <w:b/>
        </w:rPr>
        <w:t>, 828 A2d 356, 359 (</w:t>
      </w:r>
      <w:proofErr w:type="spellStart"/>
      <w:r w:rsidRPr="00832A82">
        <w:rPr>
          <w:b/>
        </w:rPr>
        <w:t>Pa.Super</w:t>
      </w:r>
      <w:proofErr w:type="spellEnd"/>
      <w:r w:rsidRPr="00832A82">
        <w:rPr>
          <w:b/>
        </w:rPr>
        <w:t>. 2003).</w:t>
      </w:r>
      <w:proofErr w:type="gramEnd"/>
    </w:p>
    <w:p w:rsidR="005D1788" w:rsidRPr="00832A82" w:rsidRDefault="005D1788" w:rsidP="004612D7">
      <w:pPr>
        <w:spacing w:line="480" w:lineRule="auto"/>
        <w:ind w:firstLine="720"/>
        <w:jc w:val="both"/>
        <w:rPr>
          <w:b/>
        </w:rPr>
      </w:pPr>
      <w:r w:rsidRPr="00832A82">
        <w:rPr>
          <w:b/>
        </w:rPr>
        <w:t xml:space="preserve">The </w:t>
      </w:r>
      <w:r w:rsidRPr="00832A82">
        <w:rPr>
          <w:b/>
          <w:u w:val="single"/>
        </w:rPr>
        <w:t>Alexander</w:t>
      </w:r>
      <w:r w:rsidRPr="00832A82">
        <w:rPr>
          <w:b/>
        </w:rPr>
        <w:t xml:space="preserve"> court created a “totality of the circumstances test” to ascertain whether a Defendant possessed the requisite intent to inflict serious bodily injury.  </w:t>
      </w:r>
      <w:r w:rsidRPr="00832A82">
        <w:rPr>
          <w:b/>
          <w:u w:val="single"/>
        </w:rPr>
        <w:t>Alexander</w:t>
      </w:r>
      <w:r w:rsidRPr="00832A82">
        <w:rPr>
          <w:b/>
        </w:rPr>
        <w:t xml:space="preserve"> made clear that “Simple Assault combined with other surrounding circumstances</w:t>
      </w:r>
      <w:r w:rsidR="00040604" w:rsidRPr="00832A82">
        <w:rPr>
          <w:b/>
        </w:rPr>
        <w:t xml:space="preserve"> may, in a proper case, be sufficient to support a finding that an assa</w:t>
      </w:r>
      <w:r w:rsidR="00E953B5">
        <w:rPr>
          <w:b/>
        </w:rPr>
        <w:t>ilant</w:t>
      </w:r>
      <w:r w:rsidR="00040604" w:rsidRPr="00832A82">
        <w:rPr>
          <w:b/>
        </w:rPr>
        <w:t xml:space="preserve"> attempted to inflict serious bodily injury, thereby constituting Aggravated Assault.” </w:t>
      </w:r>
      <w:proofErr w:type="gramStart"/>
      <w:r w:rsidR="00040604" w:rsidRPr="00832A82">
        <w:rPr>
          <w:b/>
          <w:u w:val="single"/>
        </w:rPr>
        <w:t>Commonwealth v. Matthew</w:t>
      </w:r>
      <w:r w:rsidR="00040604" w:rsidRPr="00832A82">
        <w:rPr>
          <w:b/>
        </w:rPr>
        <w:t>, 589 A2d 487, 492 (</w:t>
      </w:r>
      <w:proofErr w:type="spellStart"/>
      <w:r w:rsidR="00040604" w:rsidRPr="00832A82">
        <w:rPr>
          <w:b/>
        </w:rPr>
        <w:t>Pa.Super</w:t>
      </w:r>
      <w:proofErr w:type="spellEnd"/>
      <w:r w:rsidR="00040604" w:rsidRPr="00832A82">
        <w:rPr>
          <w:b/>
        </w:rPr>
        <w:t>. 2006).</w:t>
      </w:r>
      <w:proofErr w:type="gramEnd"/>
    </w:p>
    <w:p w:rsidR="00040604" w:rsidRPr="00832A82" w:rsidRDefault="00040604" w:rsidP="004612D7">
      <w:pPr>
        <w:spacing w:line="480" w:lineRule="auto"/>
        <w:ind w:firstLine="720"/>
        <w:jc w:val="both"/>
        <w:rPr>
          <w:b/>
        </w:rPr>
      </w:pPr>
      <w:r w:rsidRPr="00832A82">
        <w:rPr>
          <w:b/>
        </w:rPr>
        <w:t xml:space="preserve">The circumstances as testified to by the victim </w:t>
      </w:r>
      <w:r w:rsidR="00E953B5">
        <w:rPr>
          <w:b/>
        </w:rPr>
        <w:t>provide</w:t>
      </w:r>
      <w:r w:rsidRPr="00832A82">
        <w:rPr>
          <w:b/>
        </w:rPr>
        <w:t xml:space="preserve"> sufficient evidence to establish a prima facie case of Aggravated Assault, i.e. an attempt to inflict serious bodily injury.  The victim’s recitation of the conversations between herself and the Defendant (don’t bring the kids home, calling </w:t>
      </w:r>
      <w:r w:rsidRPr="00832A82">
        <w:rPr>
          <w:b/>
        </w:rPr>
        <w:lastRenderedPageBreak/>
        <w:t>the victim various unpleasant names and accusing her of infidelity) coupled with how, where and for how long the Defendant punched, kicked and stomped all over</w:t>
      </w:r>
      <w:r w:rsidR="00E953B5">
        <w:rPr>
          <w:b/>
        </w:rPr>
        <w:t xml:space="preserve"> various body parts of </w:t>
      </w:r>
      <w:r w:rsidRPr="00832A82">
        <w:rPr>
          <w:b/>
        </w:rPr>
        <w:t>the victim</w:t>
      </w:r>
      <w:r w:rsidR="00E953B5">
        <w:rPr>
          <w:b/>
        </w:rPr>
        <w:t xml:space="preserve">, </w:t>
      </w:r>
      <w:r w:rsidRPr="00832A82">
        <w:rPr>
          <w:b/>
        </w:rPr>
        <w:t>(face, back, legs, hips, to name a few) and the Defendant’s choking and dragging the victim presents a sufficient basis to prove the requisite and necessary intent to inflict serious bodily injury.  Consequently, it further establishes a prima facie case on the charge of Aggravated Assault.</w:t>
      </w:r>
    </w:p>
    <w:p w:rsidR="00040604" w:rsidRPr="00832A82" w:rsidRDefault="00040604" w:rsidP="004612D7">
      <w:pPr>
        <w:spacing w:line="480" w:lineRule="auto"/>
        <w:ind w:firstLine="720"/>
        <w:jc w:val="both"/>
        <w:rPr>
          <w:b/>
        </w:rPr>
      </w:pPr>
    </w:p>
    <w:p w:rsidR="008832CF" w:rsidRPr="00832A82" w:rsidRDefault="00B521E6" w:rsidP="00DE14A4">
      <w:pPr>
        <w:spacing w:line="480" w:lineRule="auto"/>
        <w:jc w:val="both"/>
        <w:rPr>
          <w:b/>
          <w:u w:val="single"/>
        </w:rPr>
      </w:pPr>
      <w:r w:rsidRPr="00832A82">
        <w:rPr>
          <w:b/>
          <w:u w:val="single"/>
        </w:rPr>
        <w:t xml:space="preserve">ENDANGERING WELFARE OF CHILDREN - </w:t>
      </w:r>
      <w:proofErr w:type="gramStart"/>
      <w:r w:rsidR="008832CF" w:rsidRPr="00832A82">
        <w:rPr>
          <w:b/>
          <w:u w:val="single"/>
        </w:rPr>
        <w:t xml:space="preserve">18 </w:t>
      </w:r>
      <w:proofErr w:type="spellStart"/>
      <w:r w:rsidR="008832CF" w:rsidRPr="00832A82">
        <w:rPr>
          <w:b/>
          <w:u w:val="single"/>
        </w:rPr>
        <w:t>Pa.S.C.A</w:t>
      </w:r>
      <w:proofErr w:type="spellEnd"/>
      <w:proofErr w:type="gramEnd"/>
      <w:r w:rsidR="008832CF" w:rsidRPr="00832A82">
        <w:rPr>
          <w:b/>
          <w:u w:val="single"/>
        </w:rPr>
        <w:t xml:space="preserve">. </w:t>
      </w:r>
      <w:r w:rsidR="008832CF" w:rsidRPr="00832A82">
        <w:rPr>
          <w:rFonts w:cs="Courier New"/>
          <w:b/>
          <w:u w:val="single"/>
        </w:rPr>
        <w:t>§</w:t>
      </w:r>
      <w:r w:rsidRPr="00832A82">
        <w:rPr>
          <w:rFonts w:cs="Courier New"/>
          <w:b/>
          <w:u w:val="single"/>
        </w:rPr>
        <w:t>4304(A</w:t>
      </w:r>
      <w:proofErr w:type="gramStart"/>
      <w:r w:rsidRPr="00832A82">
        <w:rPr>
          <w:rFonts w:cs="Courier New"/>
          <w:b/>
          <w:u w:val="single"/>
        </w:rPr>
        <w:t>)(</w:t>
      </w:r>
      <w:proofErr w:type="gramEnd"/>
      <w:r w:rsidRPr="00832A82">
        <w:rPr>
          <w:rFonts w:cs="Courier New"/>
          <w:b/>
          <w:u w:val="single"/>
        </w:rPr>
        <w:t>1)</w:t>
      </w:r>
    </w:p>
    <w:p w:rsidR="008832CF" w:rsidRPr="00832A82" w:rsidRDefault="008832CF" w:rsidP="00DE14A4">
      <w:pPr>
        <w:spacing w:line="480" w:lineRule="auto"/>
        <w:jc w:val="both"/>
        <w:rPr>
          <w:b/>
        </w:rPr>
      </w:pPr>
      <w:r w:rsidRPr="00832A82">
        <w:rPr>
          <w:b/>
        </w:rPr>
        <w:tab/>
        <w:t xml:space="preserve">The </w:t>
      </w:r>
      <w:r w:rsidR="00B521E6" w:rsidRPr="00832A82">
        <w:rPr>
          <w:b/>
        </w:rPr>
        <w:t>Defendant has challenged the sufficiency of the prima facie case against him on the</w:t>
      </w:r>
      <w:r w:rsidR="00E953B5">
        <w:rPr>
          <w:b/>
        </w:rPr>
        <w:t xml:space="preserve"> two (2)</w:t>
      </w:r>
      <w:r w:rsidR="00B521E6" w:rsidRPr="00832A82">
        <w:rPr>
          <w:b/>
        </w:rPr>
        <w:t xml:space="preserve"> charges of Endangering Welfare of Children</w:t>
      </w:r>
      <w:r w:rsidR="00B26FC2">
        <w:rPr>
          <w:rStyle w:val="FootnoteReference"/>
          <w:b/>
        </w:rPr>
        <w:footnoteReference w:id="2"/>
      </w:r>
      <w:r w:rsidR="00B521E6" w:rsidRPr="00832A82">
        <w:rPr>
          <w:b/>
        </w:rPr>
        <w:t>.  This crime is defined as</w:t>
      </w:r>
      <w:r w:rsidRPr="00832A82">
        <w:rPr>
          <w:b/>
        </w:rPr>
        <w:t>:</w:t>
      </w:r>
    </w:p>
    <w:p w:rsidR="008832CF" w:rsidRPr="00832A82" w:rsidRDefault="008832CF" w:rsidP="008832CF">
      <w:pPr>
        <w:ind w:left="1440"/>
        <w:jc w:val="both"/>
        <w:rPr>
          <w:b/>
        </w:rPr>
      </w:pPr>
      <w:r w:rsidRPr="00832A82">
        <w:rPr>
          <w:b/>
        </w:rPr>
        <w:t>A p</w:t>
      </w:r>
      <w:r w:rsidR="00B521E6" w:rsidRPr="00832A82">
        <w:rPr>
          <w:b/>
        </w:rPr>
        <w:t>arent, guardian, or other person supervising the welfare of a child under 18 years of age commits a misdemeanor of the first degree if he knowingly endangers the welfare of the child by violating a duty of care, protection or support</w:t>
      </w:r>
      <w:r w:rsidRPr="00832A82">
        <w:rPr>
          <w:b/>
        </w:rPr>
        <w:t>.</w:t>
      </w:r>
    </w:p>
    <w:p w:rsidR="0042317A" w:rsidRPr="00832A82" w:rsidRDefault="0042317A" w:rsidP="0042317A">
      <w:pPr>
        <w:ind w:left="1440" w:hanging="1530"/>
        <w:jc w:val="both"/>
        <w:rPr>
          <w:b/>
        </w:rPr>
      </w:pPr>
    </w:p>
    <w:p w:rsidR="00F56778" w:rsidRPr="00832A82" w:rsidRDefault="0042317A" w:rsidP="0042317A">
      <w:pPr>
        <w:spacing w:line="480" w:lineRule="auto"/>
        <w:jc w:val="both"/>
        <w:rPr>
          <w:b/>
        </w:rPr>
      </w:pPr>
      <w:r w:rsidRPr="00832A82">
        <w:rPr>
          <w:b/>
        </w:rPr>
        <w:tab/>
      </w:r>
      <w:proofErr w:type="gramStart"/>
      <w:r w:rsidRPr="00832A82">
        <w:rPr>
          <w:b/>
        </w:rPr>
        <w:t xml:space="preserve">18 </w:t>
      </w:r>
      <w:proofErr w:type="spellStart"/>
      <w:r w:rsidRPr="00832A82">
        <w:rPr>
          <w:b/>
        </w:rPr>
        <w:t>Pa.C.S.A</w:t>
      </w:r>
      <w:proofErr w:type="spellEnd"/>
      <w:r w:rsidRPr="00832A82">
        <w:rPr>
          <w:b/>
        </w:rPr>
        <w:t>.</w:t>
      </w:r>
      <w:proofErr w:type="gramEnd"/>
      <w:r w:rsidRPr="00832A82">
        <w:rPr>
          <w:b/>
        </w:rPr>
        <w:t xml:space="preserve"> </w:t>
      </w:r>
      <w:r w:rsidRPr="00832A82">
        <w:rPr>
          <w:rFonts w:cs="Courier New"/>
          <w:b/>
        </w:rPr>
        <w:t>§</w:t>
      </w:r>
      <w:r w:rsidR="00B521E6" w:rsidRPr="00832A82">
        <w:rPr>
          <w:b/>
        </w:rPr>
        <w:t>4304.  Additionally, the term “knowingly</w:t>
      </w:r>
      <w:r w:rsidR="00B26FC2">
        <w:rPr>
          <w:b/>
        </w:rPr>
        <w:t>”</w:t>
      </w:r>
      <w:r w:rsidR="00B521E6" w:rsidRPr="00832A82">
        <w:rPr>
          <w:b/>
        </w:rPr>
        <w:t xml:space="preserve"> is defined as follows:</w:t>
      </w:r>
    </w:p>
    <w:p w:rsidR="00426AC0" w:rsidRDefault="00426AC0" w:rsidP="00426AC0">
      <w:pPr>
        <w:ind w:left="1440"/>
        <w:jc w:val="both"/>
        <w:rPr>
          <w:b/>
        </w:rPr>
      </w:pPr>
      <w:r w:rsidRPr="00832A82">
        <w:rPr>
          <w:b/>
        </w:rPr>
        <w:t>(2) A person acts knowingly with respect to a material element of an offense when:</w:t>
      </w:r>
    </w:p>
    <w:p w:rsidR="00B26FC2" w:rsidRPr="00832A82" w:rsidRDefault="00B26FC2" w:rsidP="00426AC0">
      <w:pPr>
        <w:ind w:left="1440"/>
        <w:jc w:val="both"/>
        <w:rPr>
          <w:b/>
        </w:rPr>
      </w:pPr>
    </w:p>
    <w:p w:rsidR="00426AC0" w:rsidRPr="00832A82" w:rsidRDefault="00426AC0" w:rsidP="00426AC0">
      <w:pPr>
        <w:ind w:left="2160"/>
        <w:jc w:val="both"/>
        <w:rPr>
          <w:b/>
        </w:rPr>
      </w:pPr>
      <w:r w:rsidRPr="00832A82">
        <w:rPr>
          <w:b/>
        </w:rPr>
        <w:t>(</w:t>
      </w:r>
      <w:proofErr w:type="spellStart"/>
      <w:r w:rsidRPr="00832A82">
        <w:rPr>
          <w:b/>
        </w:rPr>
        <w:t>i</w:t>
      </w:r>
      <w:proofErr w:type="spellEnd"/>
      <w:r w:rsidRPr="00832A82">
        <w:rPr>
          <w:b/>
        </w:rPr>
        <w:t xml:space="preserve">) </w:t>
      </w:r>
      <w:proofErr w:type="gramStart"/>
      <w:r w:rsidRPr="00832A82">
        <w:rPr>
          <w:b/>
        </w:rPr>
        <w:t>if</w:t>
      </w:r>
      <w:proofErr w:type="gramEnd"/>
      <w:r w:rsidRPr="00832A82">
        <w:rPr>
          <w:b/>
        </w:rPr>
        <w:t xml:space="preserve"> the element involves the nature of his conduct or the attendant circumstances, he is aware that his conduct is of that nature or that such circumstances exist; and</w:t>
      </w:r>
    </w:p>
    <w:p w:rsidR="00426AC0" w:rsidRPr="00832A82" w:rsidRDefault="00426AC0" w:rsidP="00426AC0">
      <w:pPr>
        <w:ind w:left="2160"/>
        <w:jc w:val="both"/>
        <w:rPr>
          <w:b/>
        </w:rPr>
      </w:pPr>
      <w:r w:rsidRPr="00832A82">
        <w:rPr>
          <w:b/>
        </w:rPr>
        <w:lastRenderedPageBreak/>
        <w:t xml:space="preserve">(ii) </w:t>
      </w:r>
      <w:proofErr w:type="gramStart"/>
      <w:r w:rsidRPr="00832A82">
        <w:rPr>
          <w:b/>
        </w:rPr>
        <w:t>if</w:t>
      </w:r>
      <w:proofErr w:type="gramEnd"/>
      <w:r w:rsidRPr="00832A82">
        <w:rPr>
          <w:b/>
        </w:rPr>
        <w:t xml:space="preserve"> the element involves a result of his conduct, he is aware that it is practically certain that his conduct will cause such a result.</w:t>
      </w:r>
    </w:p>
    <w:p w:rsidR="00426AC0" w:rsidRPr="00832A82" w:rsidRDefault="00426AC0" w:rsidP="00426AC0">
      <w:pPr>
        <w:jc w:val="both"/>
        <w:rPr>
          <w:b/>
        </w:rPr>
      </w:pPr>
      <w:r w:rsidRPr="00832A82">
        <w:rPr>
          <w:b/>
        </w:rPr>
        <w:tab/>
      </w:r>
    </w:p>
    <w:p w:rsidR="0042317A" w:rsidRPr="00832A82" w:rsidRDefault="00426AC0" w:rsidP="0042317A">
      <w:pPr>
        <w:spacing w:line="480" w:lineRule="auto"/>
        <w:jc w:val="both"/>
        <w:rPr>
          <w:b/>
        </w:rPr>
      </w:pPr>
      <w:r w:rsidRPr="00832A82">
        <w:rPr>
          <w:b/>
        </w:rPr>
        <w:tab/>
      </w:r>
      <w:proofErr w:type="gramStart"/>
      <w:r w:rsidRPr="00832A82">
        <w:rPr>
          <w:b/>
        </w:rPr>
        <w:t xml:space="preserve">18 </w:t>
      </w:r>
      <w:proofErr w:type="spellStart"/>
      <w:r w:rsidRPr="00832A82">
        <w:rPr>
          <w:b/>
        </w:rPr>
        <w:t>Pa.C.S.A</w:t>
      </w:r>
      <w:proofErr w:type="spellEnd"/>
      <w:r w:rsidRPr="00832A82">
        <w:rPr>
          <w:b/>
        </w:rPr>
        <w:t>.</w:t>
      </w:r>
      <w:proofErr w:type="gramEnd"/>
      <w:r w:rsidRPr="00832A82">
        <w:rPr>
          <w:b/>
        </w:rPr>
        <w:t xml:space="preserve"> </w:t>
      </w:r>
      <w:r w:rsidRPr="00832A82">
        <w:rPr>
          <w:rFonts w:cs="Courier New"/>
          <w:b/>
        </w:rPr>
        <w:t>§</w:t>
      </w:r>
      <w:r w:rsidRPr="00832A82">
        <w:rPr>
          <w:b/>
        </w:rPr>
        <w:t>302(b</w:t>
      </w:r>
      <w:proofErr w:type="gramStart"/>
      <w:r w:rsidRPr="00832A82">
        <w:rPr>
          <w:b/>
        </w:rPr>
        <w:t>)(</w:t>
      </w:r>
      <w:proofErr w:type="gramEnd"/>
      <w:r w:rsidRPr="00832A82">
        <w:rPr>
          <w:b/>
        </w:rPr>
        <w:t>2)</w:t>
      </w:r>
    </w:p>
    <w:p w:rsidR="00426AC0" w:rsidRPr="00832A82" w:rsidRDefault="00015E97" w:rsidP="0042317A">
      <w:pPr>
        <w:spacing w:line="480" w:lineRule="auto"/>
        <w:jc w:val="both"/>
        <w:rPr>
          <w:b/>
        </w:rPr>
      </w:pPr>
      <w:r w:rsidRPr="00832A82">
        <w:rPr>
          <w:b/>
        </w:rPr>
        <w:tab/>
      </w:r>
      <w:r w:rsidR="00426AC0" w:rsidRPr="00832A82">
        <w:rPr>
          <w:b/>
        </w:rPr>
        <w:t>In the case at bar, the victim testified that upon returning home</w:t>
      </w:r>
      <w:r w:rsidR="00B66E8B" w:rsidRPr="00832A82">
        <w:rPr>
          <w:b/>
        </w:rPr>
        <w:t xml:space="preserve"> and before the assault occurred, she sent </w:t>
      </w:r>
      <w:proofErr w:type="spellStart"/>
      <w:r w:rsidR="00B66E8B" w:rsidRPr="00832A82">
        <w:rPr>
          <w:b/>
        </w:rPr>
        <w:t>Mackensie</w:t>
      </w:r>
      <w:proofErr w:type="spellEnd"/>
      <w:r w:rsidR="00B66E8B" w:rsidRPr="00832A82">
        <w:rPr>
          <w:b/>
        </w:rPr>
        <w:t xml:space="preserve"> downstairs to watch TV and turned on the </w:t>
      </w:r>
      <w:proofErr w:type="spellStart"/>
      <w:r w:rsidR="00B66E8B" w:rsidRPr="00832A82">
        <w:rPr>
          <w:b/>
        </w:rPr>
        <w:t>Wii</w:t>
      </w:r>
      <w:proofErr w:type="spellEnd"/>
      <w:r w:rsidR="00B66E8B" w:rsidRPr="00832A82">
        <w:rPr>
          <w:b/>
        </w:rPr>
        <w:t xml:space="preserve"> for Logan in his bedroom.  The victim also testified that </w:t>
      </w:r>
      <w:proofErr w:type="spellStart"/>
      <w:r w:rsidR="00B66E8B" w:rsidRPr="00832A82">
        <w:rPr>
          <w:b/>
        </w:rPr>
        <w:t>Mackensie</w:t>
      </w:r>
      <w:proofErr w:type="spellEnd"/>
      <w:r w:rsidR="00B66E8B" w:rsidRPr="00832A82">
        <w:rPr>
          <w:b/>
        </w:rPr>
        <w:t xml:space="preserve"> was present to see the Defendant shave the victim’s head.  There were no further references by the victim as to what these children were doing or where they were during this incident or afterward when the assault was over, except to say they were in the house the entire time and until she went back over when the police arrived.</w:t>
      </w:r>
    </w:p>
    <w:p w:rsidR="00B66E8B" w:rsidRPr="00832A82" w:rsidRDefault="00B66E8B" w:rsidP="0042317A">
      <w:pPr>
        <w:spacing w:line="480" w:lineRule="auto"/>
        <w:jc w:val="both"/>
        <w:rPr>
          <w:b/>
        </w:rPr>
      </w:pPr>
      <w:r w:rsidRPr="00832A82">
        <w:rPr>
          <w:b/>
        </w:rPr>
        <w:tab/>
        <w:t xml:space="preserve">In </w:t>
      </w:r>
      <w:r w:rsidRPr="00832A82">
        <w:rPr>
          <w:b/>
          <w:u w:val="single"/>
        </w:rPr>
        <w:t>Commonwealth</w:t>
      </w:r>
      <w:r w:rsidR="003D00CF" w:rsidRPr="00832A82">
        <w:rPr>
          <w:b/>
          <w:u w:val="single"/>
        </w:rPr>
        <w:t xml:space="preserve"> v. Cardwell</w:t>
      </w:r>
      <w:r w:rsidR="003D00CF" w:rsidRPr="00832A82">
        <w:rPr>
          <w:b/>
        </w:rPr>
        <w:t xml:space="preserve">, </w:t>
      </w:r>
      <w:r w:rsidR="00EF614C" w:rsidRPr="00832A82">
        <w:rPr>
          <w:b/>
        </w:rPr>
        <w:t>515 A2d 311 (</w:t>
      </w:r>
      <w:proofErr w:type="spellStart"/>
      <w:r w:rsidR="00EF614C" w:rsidRPr="00832A82">
        <w:rPr>
          <w:b/>
        </w:rPr>
        <w:t>Pa.</w:t>
      </w:r>
      <w:r w:rsidR="00901F6F" w:rsidRPr="00832A82">
        <w:rPr>
          <w:b/>
        </w:rPr>
        <w:t>Super</w:t>
      </w:r>
      <w:proofErr w:type="spellEnd"/>
      <w:r w:rsidR="00901F6F" w:rsidRPr="00832A82">
        <w:rPr>
          <w:b/>
        </w:rPr>
        <w:t xml:space="preserve">. 1986), allocator denied, 527 A2d 535 (1987), the Court established a three prong standard for testing the sufficiency of evidence of the intent element under </w:t>
      </w:r>
      <w:r w:rsidR="00901F6F" w:rsidRPr="00832A82">
        <w:rPr>
          <w:rFonts w:cs="Courier New"/>
          <w:b/>
        </w:rPr>
        <w:t>§</w:t>
      </w:r>
      <w:r w:rsidR="00901F6F" w:rsidRPr="00832A82">
        <w:rPr>
          <w:b/>
        </w:rPr>
        <w:t>4304:</w:t>
      </w:r>
    </w:p>
    <w:p w:rsidR="00901F6F" w:rsidRPr="00832A82" w:rsidRDefault="00901F6F" w:rsidP="00901F6F">
      <w:pPr>
        <w:ind w:left="1440"/>
        <w:jc w:val="both"/>
        <w:rPr>
          <w:b/>
        </w:rPr>
      </w:pPr>
      <w:r w:rsidRPr="00832A82">
        <w:rPr>
          <w:b/>
        </w:rPr>
        <w:t>“We hold that evidence is sufficient to prove the intent element of the offense of Endangering the Welfare of a Child when the accused is 1) aware of his or her duty to protect the child; 2) is aware that the child is in circumstances that threaten the child’s physical or psychological welfare; and 3) has either failed to act or has taken actions so lame or meager that such actions cannot reasonably be expected to be effective to protect the child’s physical or psychological welfare.</w:t>
      </w:r>
    </w:p>
    <w:p w:rsidR="00901F6F" w:rsidRPr="00832A82" w:rsidRDefault="00901F6F" w:rsidP="00901F6F">
      <w:pPr>
        <w:ind w:left="1440"/>
        <w:jc w:val="both"/>
        <w:rPr>
          <w:b/>
        </w:rPr>
      </w:pPr>
    </w:p>
    <w:p w:rsidR="00901F6F" w:rsidRPr="00832A82" w:rsidRDefault="00DE54A7" w:rsidP="00901F6F">
      <w:pPr>
        <w:ind w:left="810"/>
        <w:jc w:val="both"/>
        <w:rPr>
          <w:b/>
        </w:rPr>
      </w:pPr>
      <w:proofErr w:type="gramStart"/>
      <w:r w:rsidRPr="00832A82">
        <w:rPr>
          <w:b/>
          <w:u w:val="single"/>
        </w:rPr>
        <w:t>Cardwell</w:t>
      </w:r>
      <w:r w:rsidRPr="00832A82">
        <w:rPr>
          <w:b/>
        </w:rPr>
        <w:t>, 515 A2d 311 @ 315.</w:t>
      </w:r>
      <w:proofErr w:type="gramEnd"/>
    </w:p>
    <w:p w:rsidR="00DE54A7" w:rsidRPr="00832A82" w:rsidRDefault="00DE54A7" w:rsidP="00901F6F">
      <w:pPr>
        <w:ind w:left="810"/>
        <w:jc w:val="both"/>
        <w:rPr>
          <w:b/>
        </w:rPr>
      </w:pPr>
    </w:p>
    <w:p w:rsidR="00DE54A7" w:rsidRPr="00832A82" w:rsidRDefault="00DE54A7" w:rsidP="00901F6F">
      <w:pPr>
        <w:ind w:left="810"/>
        <w:jc w:val="both"/>
        <w:rPr>
          <w:b/>
        </w:rPr>
      </w:pPr>
    </w:p>
    <w:p w:rsidR="00DE54A7" w:rsidRPr="00B26FC2" w:rsidRDefault="00DE54A7" w:rsidP="00DE54A7">
      <w:pPr>
        <w:spacing w:line="480" w:lineRule="auto"/>
        <w:ind w:firstLine="810"/>
        <w:jc w:val="both"/>
        <w:rPr>
          <w:b/>
        </w:rPr>
      </w:pPr>
      <w:r w:rsidRPr="00832A82">
        <w:rPr>
          <w:b/>
        </w:rPr>
        <w:t xml:space="preserve">In </w:t>
      </w:r>
      <w:r w:rsidRPr="00832A82">
        <w:rPr>
          <w:b/>
          <w:u w:val="single"/>
        </w:rPr>
        <w:t>Commonwealth v. Miller</w:t>
      </w:r>
      <w:r w:rsidRPr="00832A82">
        <w:rPr>
          <w:b/>
        </w:rPr>
        <w:t>, 600 A2d 988 (</w:t>
      </w:r>
      <w:proofErr w:type="spellStart"/>
      <w:r w:rsidRPr="00832A82">
        <w:rPr>
          <w:b/>
        </w:rPr>
        <w:t>Pa.Super</w:t>
      </w:r>
      <w:proofErr w:type="spellEnd"/>
      <w:r w:rsidRPr="00832A82">
        <w:rPr>
          <w:b/>
        </w:rPr>
        <w:t>. 1992), the Court determined that the Defendant mother did not knowingly endanger the welfare of her child, where she mistakenly believed the child’s father when he told her that the neighbor was watching the child, when in fact she wasn’t.  The child died in a fire while unattended.</w:t>
      </w:r>
      <w:r w:rsidR="00B26FC2">
        <w:rPr>
          <w:b/>
        </w:rPr>
        <w:t xml:space="preserve">  The Court, in footnote 3, </w:t>
      </w:r>
      <w:r w:rsidRPr="00832A82">
        <w:rPr>
          <w:b/>
        </w:rPr>
        <w:t>suggest</w:t>
      </w:r>
      <w:r w:rsidR="00B26FC2">
        <w:rPr>
          <w:b/>
        </w:rPr>
        <w:t>ed</w:t>
      </w:r>
      <w:r w:rsidRPr="00832A82">
        <w:rPr>
          <w:b/>
        </w:rPr>
        <w:t xml:space="preserve"> that the trial court did not find criminal conduct based on leaving the child alone to go downstairs to a first floor restaurant for juice </w:t>
      </w:r>
      <w:r w:rsidR="00EF3E11" w:rsidRPr="00832A82">
        <w:rPr>
          <w:b/>
        </w:rPr>
        <w:t xml:space="preserve">for the child while the child was sleeping alone in the bedroom with a space heater on.  Rather criminal culpability was </w:t>
      </w:r>
      <w:r w:rsidR="00B26FC2">
        <w:rPr>
          <w:b/>
        </w:rPr>
        <w:t xml:space="preserve">established </w:t>
      </w:r>
      <w:r w:rsidR="00EF3E11" w:rsidRPr="00832A82">
        <w:rPr>
          <w:b/>
        </w:rPr>
        <w:t xml:space="preserve">as </w:t>
      </w:r>
      <w:r w:rsidR="00B26FC2">
        <w:rPr>
          <w:b/>
        </w:rPr>
        <w:t>the</w:t>
      </w:r>
      <w:r w:rsidR="00EF3E11" w:rsidRPr="00832A82">
        <w:rPr>
          <w:b/>
        </w:rPr>
        <w:t xml:space="preserve"> result of her </w:t>
      </w:r>
      <w:r w:rsidR="00B26FC2">
        <w:rPr>
          <w:b/>
        </w:rPr>
        <w:t>failure</w:t>
      </w:r>
      <w:r w:rsidR="00EF3E11" w:rsidRPr="00832A82">
        <w:rPr>
          <w:b/>
        </w:rPr>
        <w:t xml:space="preserve"> to follow up on the babysitting arrangements.</w:t>
      </w:r>
      <w:r w:rsidR="00B26FC2">
        <w:rPr>
          <w:b/>
        </w:rPr>
        <w:t xml:space="preserve">  Further, in dicta, the </w:t>
      </w:r>
      <w:r w:rsidR="00EF3E11" w:rsidRPr="00832A82">
        <w:rPr>
          <w:b/>
        </w:rPr>
        <w:t>Court believe</w:t>
      </w:r>
      <w:r w:rsidR="00B26FC2">
        <w:rPr>
          <w:b/>
        </w:rPr>
        <w:t>d</w:t>
      </w:r>
      <w:r w:rsidR="00EF3E11" w:rsidRPr="00832A82">
        <w:rPr>
          <w:b/>
        </w:rPr>
        <w:t xml:space="preserve"> that if the </w:t>
      </w:r>
      <w:r w:rsidR="00EF3E11" w:rsidRPr="00832A82">
        <w:rPr>
          <w:b/>
          <w:u w:val="single"/>
        </w:rPr>
        <w:t>only</w:t>
      </w:r>
      <w:r w:rsidR="00EF3E11" w:rsidRPr="00832A82">
        <w:rPr>
          <w:b/>
        </w:rPr>
        <w:t xml:space="preserve"> thing the defendant did was to go for the juice, it would have been highly unlikely that the defendant would have found her</w:t>
      </w:r>
      <w:r w:rsidR="00B26FC2">
        <w:rPr>
          <w:b/>
        </w:rPr>
        <w:t>self</w:t>
      </w:r>
      <w:r w:rsidR="00EF3E11" w:rsidRPr="00832A82">
        <w:rPr>
          <w:b/>
        </w:rPr>
        <w:t xml:space="preserve"> before the Court at all.  </w:t>
      </w:r>
      <w:r w:rsidR="00EF3E11" w:rsidRPr="00832A82">
        <w:rPr>
          <w:b/>
          <w:u w:val="single"/>
        </w:rPr>
        <w:t>Miller</w:t>
      </w:r>
      <w:r w:rsidR="00EF3E11" w:rsidRPr="00832A82">
        <w:rPr>
          <w:b/>
        </w:rPr>
        <w:t xml:space="preserve"> @ 992, Footnote 3.</w:t>
      </w:r>
      <w:r w:rsidR="00B26FC2">
        <w:rPr>
          <w:b/>
        </w:rPr>
        <w:t xml:space="preserve">  The Defendant here, like in </w:t>
      </w:r>
      <w:r w:rsidR="00B26FC2">
        <w:rPr>
          <w:b/>
          <w:u w:val="single"/>
        </w:rPr>
        <w:t>Miller</w:t>
      </w:r>
      <w:r w:rsidR="00B26FC2">
        <w:rPr>
          <w:b/>
        </w:rPr>
        <w:t>, left the children in the home while the victim was across the street.  He did not knowingly violate a duty of care</w:t>
      </w:r>
      <w:r w:rsidR="00795E62">
        <w:rPr>
          <w:b/>
        </w:rPr>
        <w:t xml:space="preserve"> that would endanger them</w:t>
      </w:r>
      <w:r w:rsidR="00903801">
        <w:rPr>
          <w:b/>
        </w:rPr>
        <w:t>.</w:t>
      </w:r>
    </w:p>
    <w:p w:rsidR="00EF3E11" w:rsidRPr="00832A82" w:rsidRDefault="00EF3E11" w:rsidP="00DE54A7">
      <w:pPr>
        <w:spacing w:line="480" w:lineRule="auto"/>
        <w:ind w:firstLine="810"/>
        <w:jc w:val="both"/>
        <w:rPr>
          <w:b/>
        </w:rPr>
      </w:pPr>
      <w:r w:rsidRPr="00832A82">
        <w:rPr>
          <w:b/>
        </w:rPr>
        <w:t xml:space="preserve">As previously stated, the evidence viewed in the light most favorable to the Commonwealth places the children in the home and out of harm’s way.  Further, the time frame between the father leaving the area and the police arriving (and the victim </w:t>
      </w:r>
      <w:r w:rsidRPr="00832A82">
        <w:rPr>
          <w:b/>
        </w:rPr>
        <w:lastRenderedPageBreak/>
        <w:t>getting back into the home) was apparently minimal</w:t>
      </w:r>
      <w:r w:rsidR="005844E2" w:rsidRPr="00832A82">
        <w:rPr>
          <w:b/>
        </w:rPr>
        <w:t>.  If anything, the defendant may have exercised a lack of p</w:t>
      </w:r>
      <w:r w:rsidR="00903801">
        <w:rPr>
          <w:b/>
        </w:rPr>
        <w:t>arental</w:t>
      </w:r>
      <w:r w:rsidR="005844E2" w:rsidRPr="00832A82">
        <w:rPr>
          <w:b/>
        </w:rPr>
        <w:t xml:space="preserve"> judgment on the date in question.  However, it did not rise to the level of criminal culpability.  Accordingly, a prima facie case has not been sustained by the </w:t>
      </w:r>
      <w:r w:rsidR="00124A0E" w:rsidRPr="00832A82">
        <w:rPr>
          <w:b/>
        </w:rPr>
        <w:t>Commonwealth</w:t>
      </w:r>
      <w:r w:rsidR="005844E2" w:rsidRPr="00832A82">
        <w:rPr>
          <w:b/>
        </w:rPr>
        <w:t xml:space="preserve"> to either </w:t>
      </w:r>
      <w:proofErr w:type="gramStart"/>
      <w:r w:rsidR="005844E2" w:rsidRPr="00832A82">
        <w:rPr>
          <w:b/>
        </w:rPr>
        <w:t>Endangering</w:t>
      </w:r>
      <w:proofErr w:type="gramEnd"/>
      <w:r w:rsidR="005844E2" w:rsidRPr="00832A82">
        <w:rPr>
          <w:b/>
        </w:rPr>
        <w:t xml:space="preserve"> the Welfare of Children charge</w:t>
      </w:r>
      <w:r w:rsidR="00903801">
        <w:rPr>
          <w:b/>
        </w:rPr>
        <w:t>s</w:t>
      </w:r>
      <w:r w:rsidR="005844E2" w:rsidRPr="00832A82">
        <w:rPr>
          <w:b/>
        </w:rPr>
        <w:t>.</w:t>
      </w:r>
    </w:p>
    <w:p w:rsidR="00901F6F" w:rsidRPr="00832A82" w:rsidRDefault="00901F6F" w:rsidP="0042317A">
      <w:pPr>
        <w:spacing w:line="480" w:lineRule="auto"/>
        <w:jc w:val="both"/>
        <w:rPr>
          <w:b/>
        </w:rPr>
      </w:pPr>
    </w:p>
    <w:p w:rsidR="00712FF0" w:rsidRPr="00832A82" w:rsidRDefault="00B82BDA" w:rsidP="00C22195">
      <w:pPr>
        <w:spacing w:line="480" w:lineRule="auto"/>
        <w:jc w:val="center"/>
        <w:rPr>
          <w:b/>
          <w:u w:val="single"/>
        </w:rPr>
      </w:pPr>
      <w:r w:rsidRPr="00832A82">
        <w:rPr>
          <w:b/>
          <w:u w:val="single"/>
        </w:rPr>
        <w:t>CONCL</w:t>
      </w:r>
      <w:r w:rsidR="00712FF0" w:rsidRPr="00832A82">
        <w:rPr>
          <w:b/>
          <w:u w:val="single"/>
        </w:rPr>
        <w:t>USION</w:t>
      </w:r>
    </w:p>
    <w:p w:rsidR="005844E2" w:rsidRPr="00832A82" w:rsidRDefault="00B82BDA" w:rsidP="00B82BDA">
      <w:pPr>
        <w:spacing w:line="480" w:lineRule="auto"/>
        <w:jc w:val="both"/>
        <w:rPr>
          <w:b/>
        </w:rPr>
      </w:pPr>
      <w:r w:rsidRPr="00832A82">
        <w:rPr>
          <w:b/>
        </w:rPr>
        <w:tab/>
      </w:r>
      <w:r w:rsidR="005844E2" w:rsidRPr="00832A82">
        <w:rPr>
          <w:b/>
        </w:rPr>
        <w:t>In accordance with the foregoing, the Defendant’s Motion to Quash/Habeas Corpus with regard to the Aggravated Assault charge is DENIED.  The Defendant’s Motion to Quash/Habeas Corpus with regard to the two (2) Counts of Endangering the Welfare of Children are GRANTED, and these charges are dismissed.</w:t>
      </w:r>
    </w:p>
    <w:p w:rsidR="005844E2" w:rsidRPr="00832A82" w:rsidRDefault="005844E2" w:rsidP="004E5EB9">
      <w:pPr>
        <w:spacing w:line="480" w:lineRule="auto"/>
        <w:jc w:val="both"/>
        <w:rPr>
          <w:b/>
        </w:rPr>
      </w:pPr>
    </w:p>
    <w:p w:rsidR="00644149" w:rsidRPr="00832A82" w:rsidRDefault="00712FF0" w:rsidP="004E5EB9">
      <w:pPr>
        <w:spacing w:line="480" w:lineRule="auto"/>
        <w:jc w:val="both"/>
        <w:rPr>
          <w:b/>
        </w:rPr>
      </w:pPr>
      <w:r w:rsidRPr="00832A82">
        <w:rPr>
          <w:b/>
        </w:rPr>
        <w:tab/>
      </w:r>
      <w:r w:rsidR="00644149" w:rsidRPr="00832A82">
        <w:rPr>
          <w:b/>
        </w:rPr>
        <w:tab/>
      </w:r>
      <w:r w:rsidR="00644149" w:rsidRPr="00832A82">
        <w:rPr>
          <w:b/>
        </w:rPr>
        <w:tab/>
      </w:r>
      <w:r w:rsidR="00644149" w:rsidRPr="00832A82">
        <w:rPr>
          <w:b/>
        </w:rPr>
        <w:tab/>
      </w:r>
      <w:r w:rsidR="00644149" w:rsidRPr="00832A82">
        <w:rPr>
          <w:b/>
        </w:rPr>
        <w:tab/>
      </w:r>
      <w:r w:rsidR="00644149" w:rsidRPr="00832A82">
        <w:rPr>
          <w:b/>
        </w:rPr>
        <w:tab/>
        <w:t>BY THE COURT:</w:t>
      </w:r>
    </w:p>
    <w:p w:rsidR="00644149" w:rsidRPr="00832A82" w:rsidRDefault="00644149" w:rsidP="004E5EB9">
      <w:pPr>
        <w:spacing w:line="480" w:lineRule="auto"/>
        <w:jc w:val="both"/>
        <w:rPr>
          <w:b/>
        </w:rPr>
      </w:pPr>
    </w:p>
    <w:p w:rsidR="00644149" w:rsidRPr="00832A82" w:rsidRDefault="00644149" w:rsidP="00644149">
      <w:pPr>
        <w:jc w:val="both"/>
        <w:rPr>
          <w:b/>
        </w:rPr>
      </w:pPr>
      <w:r w:rsidRPr="00832A82">
        <w:rPr>
          <w:b/>
        </w:rPr>
        <w:tab/>
      </w:r>
      <w:r w:rsidRPr="00832A82">
        <w:rPr>
          <w:b/>
        </w:rPr>
        <w:tab/>
      </w:r>
      <w:r w:rsidRPr="00832A82">
        <w:rPr>
          <w:b/>
        </w:rPr>
        <w:tab/>
      </w:r>
      <w:r w:rsidRPr="00832A82">
        <w:rPr>
          <w:b/>
        </w:rPr>
        <w:tab/>
      </w:r>
      <w:r w:rsidRPr="00832A82">
        <w:rPr>
          <w:b/>
        </w:rPr>
        <w:tab/>
      </w:r>
      <w:r w:rsidRPr="00832A82">
        <w:rPr>
          <w:b/>
        </w:rPr>
        <w:tab/>
        <w:t>______________________________</w:t>
      </w:r>
    </w:p>
    <w:p w:rsidR="00644149" w:rsidRPr="00832A82" w:rsidRDefault="00644149" w:rsidP="00644149">
      <w:pPr>
        <w:jc w:val="both"/>
        <w:rPr>
          <w:b/>
        </w:rPr>
      </w:pPr>
      <w:r w:rsidRPr="00832A82">
        <w:rPr>
          <w:b/>
        </w:rPr>
        <w:tab/>
      </w:r>
      <w:r w:rsidRPr="00832A82">
        <w:rPr>
          <w:b/>
        </w:rPr>
        <w:tab/>
      </w:r>
      <w:r w:rsidRPr="00832A82">
        <w:rPr>
          <w:b/>
        </w:rPr>
        <w:tab/>
      </w:r>
      <w:r w:rsidRPr="00832A82">
        <w:rPr>
          <w:b/>
        </w:rPr>
        <w:tab/>
      </w:r>
      <w:r w:rsidRPr="00832A82">
        <w:rPr>
          <w:b/>
        </w:rPr>
        <w:tab/>
      </w:r>
      <w:r w:rsidRPr="00832A82">
        <w:rPr>
          <w:b/>
        </w:rPr>
        <w:tab/>
        <w:t xml:space="preserve">Joseph J. </w:t>
      </w:r>
      <w:proofErr w:type="spellStart"/>
      <w:r w:rsidRPr="00832A82">
        <w:rPr>
          <w:b/>
        </w:rPr>
        <w:t>Matika</w:t>
      </w:r>
      <w:proofErr w:type="spellEnd"/>
      <w:r w:rsidRPr="00832A82">
        <w:rPr>
          <w:b/>
        </w:rPr>
        <w:t>, Judge</w:t>
      </w:r>
    </w:p>
    <w:p w:rsidR="00644149" w:rsidRPr="00832A82" w:rsidRDefault="00644149" w:rsidP="004E5EB9">
      <w:pPr>
        <w:spacing w:line="480" w:lineRule="auto"/>
        <w:jc w:val="both"/>
        <w:rPr>
          <w:b/>
        </w:rPr>
      </w:pPr>
      <w:r w:rsidRPr="00832A82">
        <w:rPr>
          <w:b/>
        </w:rPr>
        <w:tab/>
      </w:r>
      <w:r w:rsidRPr="00832A82">
        <w:rPr>
          <w:b/>
        </w:rPr>
        <w:tab/>
      </w:r>
      <w:r w:rsidRPr="00832A82">
        <w:rPr>
          <w:b/>
        </w:rPr>
        <w:tab/>
      </w:r>
      <w:r w:rsidRPr="00832A82">
        <w:rPr>
          <w:b/>
        </w:rPr>
        <w:tab/>
      </w:r>
      <w:r w:rsidRPr="00832A82">
        <w:rPr>
          <w:b/>
        </w:rPr>
        <w:tab/>
      </w:r>
      <w:r w:rsidRPr="00832A82">
        <w:rPr>
          <w:b/>
        </w:rPr>
        <w:tab/>
      </w:r>
    </w:p>
    <w:p w:rsidR="008753F7" w:rsidRPr="00832A82" w:rsidRDefault="006078CF" w:rsidP="004E5EB9">
      <w:pPr>
        <w:spacing w:line="480" w:lineRule="auto"/>
        <w:ind w:hanging="720"/>
        <w:jc w:val="both"/>
        <w:rPr>
          <w:b/>
        </w:rPr>
      </w:pPr>
      <w:r w:rsidRPr="00832A82">
        <w:rPr>
          <w:b/>
        </w:rPr>
        <w:t xml:space="preserve"> </w:t>
      </w:r>
      <w:r w:rsidR="006309DF" w:rsidRPr="00832A82">
        <w:rPr>
          <w:b/>
        </w:rPr>
        <w:t xml:space="preserve"> </w:t>
      </w:r>
    </w:p>
    <w:p w:rsidR="00843E2D" w:rsidRPr="00851096" w:rsidRDefault="00843E2D" w:rsidP="004E5EB9">
      <w:pPr>
        <w:ind w:left="1440"/>
        <w:jc w:val="both"/>
        <w:rPr>
          <w:u w:val="single"/>
        </w:rPr>
      </w:pPr>
      <w:r>
        <w:rPr>
          <w:b/>
        </w:rPr>
        <w:t xml:space="preserve"> </w:t>
      </w:r>
    </w:p>
    <w:sectPr w:rsidR="00843E2D" w:rsidRPr="00851096" w:rsidSect="0055791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FC2" w:rsidRDefault="00B26FC2" w:rsidP="00243547">
      <w:r>
        <w:separator/>
      </w:r>
    </w:p>
  </w:endnote>
  <w:endnote w:type="continuationSeparator" w:id="0">
    <w:p w:rsidR="00B26FC2" w:rsidRDefault="00B26FC2" w:rsidP="0024354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FC2" w:rsidRDefault="00B26FC2">
    <w:pPr>
      <w:pStyle w:val="Footer"/>
      <w:jc w:val="center"/>
    </w:pPr>
    <w:r>
      <w:t>[FM-30-12]</w:t>
    </w:r>
  </w:p>
  <w:p w:rsidR="00B26FC2" w:rsidRDefault="00FE524D">
    <w:pPr>
      <w:pStyle w:val="Footer"/>
      <w:jc w:val="center"/>
    </w:pPr>
    <w:sdt>
      <w:sdtPr>
        <w:id w:val="1694971"/>
        <w:docPartObj>
          <w:docPartGallery w:val="Page Numbers (Bottom of Page)"/>
          <w:docPartUnique/>
        </w:docPartObj>
      </w:sdtPr>
      <w:sdtContent>
        <w:fldSimple w:instr=" PAGE   \* MERGEFORMAT ">
          <w:r w:rsidR="003621FC">
            <w:rPr>
              <w:noProof/>
            </w:rPr>
            <w:t>1</w:t>
          </w:r>
        </w:fldSimple>
      </w:sdtContent>
    </w:sdt>
  </w:p>
  <w:p w:rsidR="00B26FC2" w:rsidRDefault="00B26FC2" w:rsidP="001B722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FC2" w:rsidRDefault="00B26FC2" w:rsidP="00243547">
      <w:r>
        <w:separator/>
      </w:r>
    </w:p>
  </w:footnote>
  <w:footnote w:type="continuationSeparator" w:id="0">
    <w:p w:rsidR="00B26FC2" w:rsidRDefault="00B26FC2" w:rsidP="00243547">
      <w:r>
        <w:continuationSeparator/>
      </w:r>
    </w:p>
  </w:footnote>
  <w:footnote w:id="1">
    <w:p w:rsidR="00B26FC2" w:rsidRDefault="00B26FC2">
      <w:pPr>
        <w:pStyle w:val="FootnoteText"/>
      </w:pPr>
      <w:r>
        <w:rPr>
          <w:rStyle w:val="FootnoteReference"/>
        </w:rPr>
        <w:footnoteRef/>
      </w:r>
      <w:r>
        <w:t xml:space="preserve"> At the hearing on the Motion to Quash/Habeas Corpus, the parties stipulated to allowing the transcript of the preliminary hearing to stand as the primary evidentiary basis to support the Commonwealth’s case.  In addition, however, the Commonwealth presented additional evidence and testimony to support the prima facie cases on these charges.  In a Habeas Corpus proceeding, the Commonwealth has the opportunity to present additional evidence to establish that the Defendant committed the elements of the offenses charged.  </w:t>
      </w:r>
      <w:proofErr w:type="gramStart"/>
      <w:r>
        <w:rPr>
          <w:u w:val="single"/>
        </w:rPr>
        <w:t xml:space="preserve">Commonwealth v. </w:t>
      </w:r>
      <w:proofErr w:type="spellStart"/>
      <w:r>
        <w:rPr>
          <w:u w:val="single"/>
        </w:rPr>
        <w:t>Karlson</w:t>
      </w:r>
      <w:proofErr w:type="spellEnd"/>
      <w:r>
        <w:t>, 674 A2d 249 (</w:t>
      </w:r>
      <w:proofErr w:type="spellStart"/>
      <w:r>
        <w:t>Pa.Super</w:t>
      </w:r>
      <w:proofErr w:type="spellEnd"/>
      <w:r>
        <w:t>. 1996).</w:t>
      </w:r>
      <w:proofErr w:type="gramEnd"/>
    </w:p>
  </w:footnote>
  <w:footnote w:id="2">
    <w:p w:rsidR="00B26FC2" w:rsidRDefault="00B26FC2">
      <w:pPr>
        <w:pStyle w:val="FootnoteText"/>
      </w:pPr>
      <w:r>
        <w:rPr>
          <w:rStyle w:val="FootnoteReference"/>
        </w:rPr>
        <w:footnoteRef/>
      </w:r>
      <w:r>
        <w:t xml:space="preserve"> </w:t>
      </w:r>
      <w:proofErr w:type="gramStart"/>
      <w:r>
        <w:t xml:space="preserve">One count for each child, </w:t>
      </w:r>
      <w:proofErr w:type="spellStart"/>
      <w:r>
        <w:t>Mackensie</w:t>
      </w:r>
      <w:proofErr w:type="spellEnd"/>
      <w:r>
        <w:t xml:space="preserve"> and Logan.</w:t>
      </w:r>
      <w:proofErr w:type="gramEnd"/>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43547"/>
    <w:rsid w:val="00015E97"/>
    <w:rsid w:val="00040604"/>
    <w:rsid w:val="0007292D"/>
    <w:rsid w:val="000771D7"/>
    <w:rsid w:val="00124A0E"/>
    <w:rsid w:val="00154602"/>
    <w:rsid w:val="001B7224"/>
    <w:rsid w:val="00210236"/>
    <w:rsid w:val="00243547"/>
    <w:rsid w:val="0025036B"/>
    <w:rsid w:val="002959BA"/>
    <w:rsid w:val="002E3F8E"/>
    <w:rsid w:val="003621FC"/>
    <w:rsid w:val="00367E4B"/>
    <w:rsid w:val="00381FC3"/>
    <w:rsid w:val="003D00CF"/>
    <w:rsid w:val="00421B57"/>
    <w:rsid w:val="0042317A"/>
    <w:rsid w:val="00426AC0"/>
    <w:rsid w:val="00455214"/>
    <w:rsid w:val="004612D7"/>
    <w:rsid w:val="00466398"/>
    <w:rsid w:val="0047335D"/>
    <w:rsid w:val="004E5EB9"/>
    <w:rsid w:val="00513033"/>
    <w:rsid w:val="0053637E"/>
    <w:rsid w:val="00557919"/>
    <w:rsid w:val="0057254B"/>
    <w:rsid w:val="0058186F"/>
    <w:rsid w:val="00582800"/>
    <w:rsid w:val="005844E2"/>
    <w:rsid w:val="005D1788"/>
    <w:rsid w:val="006078CF"/>
    <w:rsid w:val="0062357A"/>
    <w:rsid w:val="00625D9D"/>
    <w:rsid w:val="006309DF"/>
    <w:rsid w:val="00636BE7"/>
    <w:rsid w:val="00644149"/>
    <w:rsid w:val="00660FAC"/>
    <w:rsid w:val="006C74EA"/>
    <w:rsid w:val="00703A8C"/>
    <w:rsid w:val="00712FF0"/>
    <w:rsid w:val="00732D80"/>
    <w:rsid w:val="00794A8D"/>
    <w:rsid w:val="00795E62"/>
    <w:rsid w:val="007A37B1"/>
    <w:rsid w:val="007E7872"/>
    <w:rsid w:val="00806225"/>
    <w:rsid w:val="00832A82"/>
    <w:rsid w:val="00843E2D"/>
    <w:rsid w:val="00850F71"/>
    <w:rsid w:val="00851096"/>
    <w:rsid w:val="00865867"/>
    <w:rsid w:val="008753F7"/>
    <w:rsid w:val="00876D2A"/>
    <w:rsid w:val="008832CF"/>
    <w:rsid w:val="008A0B0F"/>
    <w:rsid w:val="008F6871"/>
    <w:rsid w:val="00900E9C"/>
    <w:rsid w:val="00901F6F"/>
    <w:rsid w:val="00903567"/>
    <w:rsid w:val="00903801"/>
    <w:rsid w:val="0093184B"/>
    <w:rsid w:val="00946A7B"/>
    <w:rsid w:val="00964166"/>
    <w:rsid w:val="00976158"/>
    <w:rsid w:val="0099558C"/>
    <w:rsid w:val="009D08BB"/>
    <w:rsid w:val="00A01619"/>
    <w:rsid w:val="00A33B13"/>
    <w:rsid w:val="00A36F02"/>
    <w:rsid w:val="00A47D80"/>
    <w:rsid w:val="00A61513"/>
    <w:rsid w:val="00B169C0"/>
    <w:rsid w:val="00B26FC2"/>
    <w:rsid w:val="00B521E6"/>
    <w:rsid w:val="00B66E8B"/>
    <w:rsid w:val="00B82BDA"/>
    <w:rsid w:val="00C22195"/>
    <w:rsid w:val="00C44AF4"/>
    <w:rsid w:val="00C52D39"/>
    <w:rsid w:val="00CB164B"/>
    <w:rsid w:val="00CB39CE"/>
    <w:rsid w:val="00CC1AA7"/>
    <w:rsid w:val="00D1109A"/>
    <w:rsid w:val="00D43ED7"/>
    <w:rsid w:val="00D63DDC"/>
    <w:rsid w:val="00DC42C2"/>
    <w:rsid w:val="00DE14A4"/>
    <w:rsid w:val="00DE54A7"/>
    <w:rsid w:val="00E16AD5"/>
    <w:rsid w:val="00E17569"/>
    <w:rsid w:val="00E476B0"/>
    <w:rsid w:val="00E953B5"/>
    <w:rsid w:val="00EC3D28"/>
    <w:rsid w:val="00ED0DBE"/>
    <w:rsid w:val="00EF3E11"/>
    <w:rsid w:val="00EF56EF"/>
    <w:rsid w:val="00EF614C"/>
    <w:rsid w:val="00F115D6"/>
    <w:rsid w:val="00F27580"/>
    <w:rsid w:val="00F46BAC"/>
    <w:rsid w:val="00F56778"/>
    <w:rsid w:val="00F91485"/>
    <w:rsid w:val="00FD6941"/>
    <w:rsid w:val="00FE45E7"/>
    <w:rsid w:val="00FE52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547"/>
    <w:pPr>
      <w:widowControl w:val="0"/>
      <w:spacing w:after="0"/>
    </w:pPr>
    <w:rPr>
      <w:rFonts w:ascii="Courier New" w:eastAsia="Times New Roman" w:hAnsi="Courier New" w:cs="Times New Roman"/>
      <w:snapToGrid w:val="0"/>
      <w:szCs w:val="20"/>
    </w:rPr>
  </w:style>
  <w:style w:type="paragraph" w:styleId="Heading1">
    <w:name w:val="heading 1"/>
    <w:basedOn w:val="Normal"/>
    <w:next w:val="Normal"/>
    <w:link w:val="Heading1Char"/>
    <w:qFormat/>
    <w:rsid w:val="00243547"/>
    <w:pPr>
      <w:keepNext/>
      <w:tabs>
        <w:tab w:val="center" w:pos="4680"/>
      </w:tabs>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43547"/>
    <w:pPr>
      <w:widowControl/>
    </w:pPr>
    <w:rPr>
      <w:rFonts w:ascii="Arial" w:eastAsiaTheme="minorHAnsi" w:hAnsi="Arial" w:cstheme="minorBidi"/>
      <w:snapToGrid/>
      <w:sz w:val="20"/>
    </w:rPr>
  </w:style>
  <w:style w:type="character" w:customStyle="1" w:styleId="FootnoteTextChar">
    <w:name w:val="Footnote Text Char"/>
    <w:basedOn w:val="DefaultParagraphFont"/>
    <w:link w:val="FootnoteText"/>
    <w:uiPriority w:val="99"/>
    <w:semiHidden/>
    <w:rsid w:val="00243547"/>
    <w:rPr>
      <w:sz w:val="20"/>
      <w:szCs w:val="20"/>
    </w:rPr>
  </w:style>
  <w:style w:type="character" w:styleId="FootnoteReference">
    <w:name w:val="footnote reference"/>
    <w:basedOn w:val="DefaultParagraphFont"/>
    <w:semiHidden/>
    <w:unhideWhenUsed/>
    <w:rsid w:val="00243547"/>
    <w:rPr>
      <w:vertAlign w:val="superscript"/>
    </w:rPr>
  </w:style>
  <w:style w:type="character" w:customStyle="1" w:styleId="Heading1Char">
    <w:name w:val="Heading 1 Char"/>
    <w:basedOn w:val="DefaultParagraphFont"/>
    <w:link w:val="Heading1"/>
    <w:rsid w:val="00243547"/>
    <w:rPr>
      <w:rFonts w:ascii="Courier New" w:eastAsia="Times New Roman" w:hAnsi="Courier New" w:cs="Times New Roman"/>
      <w:b/>
      <w:snapToGrid w:val="0"/>
      <w:szCs w:val="20"/>
    </w:rPr>
  </w:style>
  <w:style w:type="paragraph" w:styleId="Header">
    <w:name w:val="header"/>
    <w:basedOn w:val="Normal"/>
    <w:link w:val="HeaderChar"/>
    <w:uiPriority w:val="99"/>
    <w:semiHidden/>
    <w:unhideWhenUsed/>
    <w:rsid w:val="001B7224"/>
    <w:pPr>
      <w:tabs>
        <w:tab w:val="center" w:pos="4680"/>
        <w:tab w:val="right" w:pos="9360"/>
      </w:tabs>
    </w:pPr>
  </w:style>
  <w:style w:type="character" w:customStyle="1" w:styleId="HeaderChar">
    <w:name w:val="Header Char"/>
    <w:basedOn w:val="DefaultParagraphFont"/>
    <w:link w:val="Header"/>
    <w:uiPriority w:val="99"/>
    <w:semiHidden/>
    <w:rsid w:val="001B7224"/>
    <w:rPr>
      <w:rFonts w:ascii="Courier New" w:eastAsia="Times New Roman" w:hAnsi="Courier New" w:cs="Times New Roman"/>
      <w:snapToGrid w:val="0"/>
      <w:szCs w:val="20"/>
    </w:rPr>
  </w:style>
  <w:style w:type="paragraph" w:styleId="Footer">
    <w:name w:val="footer"/>
    <w:basedOn w:val="Normal"/>
    <w:link w:val="FooterChar"/>
    <w:uiPriority w:val="99"/>
    <w:unhideWhenUsed/>
    <w:rsid w:val="001B7224"/>
    <w:pPr>
      <w:tabs>
        <w:tab w:val="center" w:pos="4680"/>
        <w:tab w:val="right" w:pos="9360"/>
      </w:tabs>
    </w:pPr>
  </w:style>
  <w:style w:type="character" w:customStyle="1" w:styleId="FooterChar">
    <w:name w:val="Footer Char"/>
    <w:basedOn w:val="DefaultParagraphFont"/>
    <w:link w:val="Footer"/>
    <w:uiPriority w:val="99"/>
    <w:rsid w:val="001B7224"/>
    <w:rPr>
      <w:rFonts w:ascii="Courier New" w:eastAsia="Times New Roman" w:hAnsi="Courier New" w:cs="Times New Roman"/>
      <w:snapToGrid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76133-E275-4137-A447-D0DB2B730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10</Pages>
  <Words>1890</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10</cp:revision>
  <cp:lastPrinted>2012-05-22T19:56:00Z</cp:lastPrinted>
  <dcterms:created xsi:type="dcterms:W3CDTF">2012-05-25T12:46:00Z</dcterms:created>
  <dcterms:modified xsi:type="dcterms:W3CDTF">2012-05-30T12:44:00Z</dcterms:modified>
</cp:coreProperties>
</file>