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B91" w:rsidRPr="004E7C4B" w:rsidRDefault="00107B91" w:rsidP="00107B91">
      <w:pPr>
        <w:pStyle w:val="Title"/>
        <w:rPr>
          <w:rFonts w:cs="Courier New"/>
        </w:rPr>
      </w:pPr>
      <w:r w:rsidRPr="004E7C4B">
        <w:rPr>
          <w:rFonts w:cs="Courier New"/>
        </w:rPr>
        <w:t>IN THE COURT OF COMMON PLEAS OF CARBON COUNTY, PENNSYLVANIA</w:t>
      </w:r>
    </w:p>
    <w:p w:rsidR="00107B91" w:rsidRPr="004E7C4B" w:rsidRDefault="00107B91" w:rsidP="00107B91">
      <w:pPr>
        <w:jc w:val="center"/>
        <w:rPr>
          <w:rFonts w:cs="Courier New"/>
        </w:rPr>
      </w:pPr>
      <w:r w:rsidRPr="004E7C4B">
        <w:rPr>
          <w:rFonts w:cs="Courier New"/>
        </w:rPr>
        <w:t>CIVIL DIVISION</w:t>
      </w:r>
    </w:p>
    <w:p w:rsidR="00107B91" w:rsidRPr="004E7C4B" w:rsidRDefault="00107B91" w:rsidP="00107B91">
      <w:pPr>
        <w:jc w:val="both"/>
        <w:rPr>
          <w:rFonts w:cs="Courier New"/>
        </w:rPr>
      </w:pPr>
    </w:p>
    <w:p w:rsidR="00107B91" w:rsidRPr="004E7C4B" w:rsidRDefault="00107B91" w:rsidP="00107B91">
      <w:pPr>
        <w:jc w:val="both"/>
        <w:rPr>
          <w:rFonts w:cs="Courier New"/>
        </w:rPr>
      </w:pPr>
    </w:p>
    <w:p w:rsidR="00107B91" w:rsidRPr="004E7C4B" w:rsidRDefault="00107B91" w:rsidP="00107B91">
      <w:pPr>
        <w:jc w:val="both"/>
        <w:rPr>
          <w:rFonts w:cs="Courier New"/>
        </w:rPr>
      </w:pPr>
    </w:p>
    <w:p w:rsidR="00107B91" w:rsidRPr="004E7C4B" w:rsidRDefault="00107B91" w:rsidP="00107B91">
      <w:pPr>
        <w:jc w:val="both"/>
        <w:rPr>
          <w:rFonts w:cs="Courier New"/>
          <w:b w:val="0"/>
        </w:rPr>
      </w:pPr>
      <w:r>
        <w:rPr>
          <w:rFonts w:cs="Courier New"/>
        </w:rPr>
        <w:t>CYNTHIA H. LIZZIO</w:t>
      </w:r>
      <w:r w:rsidRPr="004E7C4B">
        <w:rPr>
          <w:rFonts w:cs="Courier New"/>
        </w:rPr>
        <w:t>,</w:t>
      </w:r>
      <w:r w:rsidRPr="004E7C4B">
        <w:rPr>
          <w:rFonts w:cs="Courier New"/>
        </w:rPr>
        <w:tab/>
      </w:r>
      <w:r>
        <w:rPr>
          <w:rFonts w:cs="Courier New"/>
        </w:rPr>
        <w:tab/>
      </w:r>
      <w:r>
        <w:rPr>
          <w:rFonts w:cs="Courier New"/>
        </w:rPr>
        <w:tab/>
      </w:r>
      <w:r>
        <w:rPr>
          <w:rFonts w:cs="Courier New"/>
        </w:rPr>
        <w:tab/>
      </w:r>
      <w:r w:rsidRPr="004E7C4B">
        <w:rPr>
          <w:rFonts w:cs="Courier New"/>
        </w:rPr>
        <w:t>:</w:t>
      </w:r>
    </w:p>
    <w:p w:rsidR="00107B91" w:rsidRPr="004E7C4B" w:rsidRDefault="00107B91" w:rsidP="00107B91">
      <w:pPr>
        <w:jc w:val="both"/>
        <w:rPr>
          <w:rFonts w:cs="Courier New"/>
        </w:rPr>
      </w:pPr>
      <w:r>
        <w:rPr>
          <w:rFonts w:cs="Courier New"/>
        </w:rPr>
        <w:tab/>
      </w:r>
      <w:r>
        <w:rPr>
          <w:rFonts w:cs="Courier New"/>
        </w:rPr>
        <w:tab/>
        <w:t>Plaintiff/Appellee</w:t>
      </w:r>
      <w:r>
        <w:rPr>
          <w:rFonts w:cs="Courier New"/>
        </w:rPr>
        <w:tab/>
      </w:r>
      <w:r>
        <w:rPr>
          <w:rFonts w:cs="Courier New"/>
        </w:rPr>
        <w:tab/>
      </w:r>
      <w:r w:rsidRPr="004E7C4B">
        <w:rPr>
          <w:rFonts w:cs="Courier New"/>
        </w:rPr>
        <w:t>:</w:t>
      </w:r>
    </w:p>
    <w:p w:rsidR="00107B91" w:rsidRPr="004E7C4B" w:rsidRDefault="00107B91" w:rsidP="00107B91">
      <w:pPr>
        <w:jc w:val="both"/>
        <w:rPr>
          <w:rFonts w:cs="Courier New"/>
        </w:rPr>
      </w:pPr>
      <w:r w:rsidRPr="004E7C4B">
        <w:rPr>
          <w:rFonts w:cs="Courier New"/>
        </w:rPr>
        <w:tab/>
      </w:r>
      <w:r w:rsidRPr="004E7C4B">
        <w:rPr>
          <w:rFonts w:cs="Courier New"/>
        </w:rPr>
        <w:tab/>
      </w:r>
      <w:r w:rsidRPr="004E7C4B">
        <w:rPr>
          <w:rFonts w:cs="Courier New"/>
        </w:rPr>
        <w:tab/>
      </w:r>
      <w:r w:rsidRPr="004E7C4B">
        <w:rPr>
          <w:rFonts w:cs="Courier New"/>
        </w:rPr>
        <w:tab/>
      </w:r>
      <w:r w:rsidRPr="004E7C4B">
        <w:rPr>
          <w:rFonts w:cs="Courier New"/>
        </w:rPr>
        <w:tab/>
      </w:r>
      <w:r w:rsidRPr="004E7C4B">
        <w:rPr>
          <w:rFonts w:cs="Courier New"/>
        </w:rPr>
        <w:tab/>
      </w:r>
      <w:r w:rsidRPr="004E7C4B">
        <w:rPr>
          <w:rFonts w:cs="Courier New"/>
        </w:rPr>
        <w:tab/>
        <w:t>:</w:t>
      </w:r>
      <w:r w:rsidRPr="004E7C4B">
        <w:rPr>
          <w:rFonts w:cs="Courier New"/>
        </w:rPr>
        <w:tab/>
        <w:t xml:space="preserve">No. </w:t>
      </w:r>
      <w:r>
        <w:rPr>
          <w:rFonts w:cs="Courier New"/>
        </w:rPr>
        <w:t>07-3022</w:t>
      </w:r>
    </w:p>
    <w:p w:rsidR="00107B91" w:rsidRPr="004E7C4B" w:rsidRDefault="00107B91" w:rsidP="00107B91">
      <w:pPr>
        <w:jc w:val="both"/>
        <w:rPr>
          <w:rFonts w:cs="Courier New"/>
        </w:rPr>
      </w:pPr>
      <w:r w:rsidRPr="004E7C4B">
        <w:rPr>
          <w:rFonts w:cs="Courier New"/>
        </w:rPr>
        <w:tab/>
      </w:r>
      <w:r w:rsidRPr="004E7C4B">
        <w:rPr>
          <w:rFonts w:cs="Courier New"/>
        </w:rPr>
        <w:tab/>
      </w:r>
      <w:r w:rsidRPr="004E7C4B">
        <w:rPr>
          <w:rFonts w:cs="Courier New"/>
        </w:rPr>
        <w:tab/>
        <w:t xml:space="preserve">vs. </w:t>
      </w:r>
      <w:r w:rsidRPr="004E7C4B">
        <w:rPr>
          <w:rFonts w:cs="Courier New"/>
        </w:rPr>
        <w:tab/>
      </w:r>
      <w:r w:rsidRPr="004E7C4B">
        <w:rPr>
          <w:rFonts w:cs="Courier New"/>
        </w:rPr>
        <w:tab/>
      </w:r>
      <w:r w:rsidRPr="004E7C4B">
        <w:rPr>
          <w:rFonts w:cs="Courier New"/>
        </w:rPr>
        <w:tab/>
      </w:r>
      <w:r w:rsidRPr="004E7C4B">
        <w:rPr>
          <w:rFonts w:cs="Courier New"/>
        </w:rPr>
        <w:tab/>
        <w:t>:</w:t>
      </w:r>
    </w:p>
    <w:p w:rsidR="00107B91" w:rsidRPr="004E7C4B" w:rsidRDefault="00107B91" w:rsidP="00107B91">
      <w:pPr>
        <w:jc w:val="both"/>
        <w:rPr>
          <w:rFonts w:cs="Courier New"/>
        </w:rPr>
      </w:pPr>
      <w:r w:rsidRPr="004E7C4B">
        <w:rPr>
          <w:rFonts w:cs="Courier New"/>
        </w:rPr>
        <w:tab/>
      </w:r>
      <w:r w:rsidRPr="004E7C4B">
        <w:rPr>
          <w:rFonts w:cs="Courier New"/>
        </w:rPr>
        <w:tab/>
      </w:r>
      <w:r w:rsidRPr="004E7C4B">
        <w:rPr>
          <w:rFonts w:cs="Courier New"/>
        </w:rPr>
        <w:tab/>
      </w:r>
      <w:r w:rsidRPr="004E7C4B">
        <w:rPr>
          <w:rFonts w:cs="Courier New"/>
        </w:rPr>
        <w:tab/>
      </w:r>
      <w:r w:rsidRPr="004E7C4B">
        <w:rPr>
          <w:rFonts w:cs="Courier New"/>
        </w:rPr>
        <w:tab/>
      </w:r>
      <w:r w:rsidRPr="004E7C4B">
        <w:rPr>
          <w:rFonts w:cs="Courier New"/>
        </w:rPr>
        <w:tab/>
      </w:r>
      <w:r w:rsidRPr="004E7C4B">
        <w:rPr>
          <w:rFonts w:cs="Courier New"/>
        </w:rPr>
        <w:tab/>
        <w:t>:</w:t>
      </w:r>
    </w:p>
    <w:p w:rsidR="00107B91" w:rsidRPr="004E7C4B" w:rsidRDefault="00107B91" w:rsidP="00107B91">
      <w:pPr>
        <w:jc w:val="both"/>
        <w:rPr>
          <w:rFonts w:cs="Courier New"/>
        </w:rPr>
      </w:pPr>
      <w:r w:rsidRPr="004E7C4B">
        <w:rPr>
          <w:rFonts w:cs="Courier New"/>
        </w:rPr>
        <w:tab/>
      </w:r>
      <w:r w:rsidRPr="004E7C4B">
        <w:rPr>
          <w:rFonts w:cs="Courier New"/>
        </w:rPr>
        <w:tab/>
      </w:r>
      <w:r w:rsidRPr="004E7C4B">
        <w:rPr>
          <w:rFonts w:cs="Courier New"/>
        </w:rPr>
        <w:tab/>
      </w:r>
      <w:r w:rsidRPr="004E7C4B">
        <w:rPr>
          <w:rFonts w:cs="Courier New"/>
        </w:rPr>
        <w:tab/>
      </w:r>
      <w:r w:rsidRPr="004E7C4B">
        <w:rPr>
          <w:rFonts w:cs="Courier New"/>
        </w:rPr>
        <w:tab/>
      </w:r>
      <w:r w:rsidRPr="004E7C4B">
        <w:rPr>
          <w:rFonts w:cs="Courier New"/>
        </w:rPr>
        <w:tab/>
      </w:r>
      <w:r w:rsidRPr="004E7C4B">
        <w:rPr>
          <w:rFonts w:cs="Courier New"/>
        </w:rPr>
        <w:tab/>
        <w:t>:</w:t>
      </w:r>
    </w:p>
    <w:p w:rsidR="00107B91" w:rsidRPr="00B9274F" w:rsidRDefault="00107B91" w:rsidP="00107B91">
      <w:pPr>
        <w:jc w:val="both"/>
        <w:rPr>
          <w:rFonts w:cs="Courier New"/>
        </w:rPr>
      </w:pPr>
      <w:r>
        <w:rPr>
          <w:rFonts w:cs="Courier New"/>
        </w:rPr>
        <w:t>SALVATORE M. LIZZIO,</w:t>
      </w:r>
      <w:r>
        <w:rPr>
          <w:rFonts w:cs="Courier New"/>
        </w:rPr>
        <w:tab/>
      </w:r>
      <w:r>
        <w:rPr>
          <w:rFonts w:cs="Courier New"/>
        </w:rPr>
        <w:tab/>
      </w:r>
      <w:r>
        <w:rPr>
          <w:rFonts w:cs="Courier New"/>
        </w:rPr>
        <w:tab/>
      </w:r>
      <w:r w:rsidRPr="004E7C4B">
        <w:rPr>
          <w:rFonts w:cs="Courier New"/>
        </w:rPr>
        <w:t>:</w:t>
      </w:r>
    </w:p>
    <w:p w:rsidR="00107B91" w:rsidRPr="004E7C4B" w:rsidRDefault="00107B91" w:rsidP="00107B91">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rFonts w:cs="Courier New"/>
          <w:szCs w:val="24"/>
        </w:rPr>
      </w:pPr>
      <w:r w:rsidRPr="004E7C4B">
        <w:rPr>
          <w:rFonts w:cs="Courier New"/>
          <w:b w:val="0"/>
          <w:sz w:val="20"/>
        </w:rPr>
        <w:tab/>
      </w:r>
      <w:r w:rsidRPr="004E7C4B">
        <w:rPr>
          <w:rFonts w:cs="Courier New"/>
          <w:b w:val="0"/>
          <w:sz w:val="20"/>
        </w:rPr>
        <w:tab/>
      </w:r>
      <w:r>
        <w:rPr>
          <w:rFonts w:cs="Courier New"/>
          <w:szCs w:val="24"/>
        </w:rPr>
        <w:t>Defendant/Appellant</w:t>
      </w:r>
      <w:r>
        <w:rPr>
          <w:rFonts w:cs="Courier New"/>
          <w:szCs w:val="24"/>
        </w:rPr>
        <w:tab/>
      </w:r>
      <w:r>
        <w:rPr>
          <w:rFonts w:cs="Courier New"/>
          <w:szCs w:val="24"/>
        </w:rPr>
        <w:tab/>
      </w:r>
      <w:r w:rsidRPr="004E7C4B">
        <w:rPr>
          <w:rFonts w:cs="Courier New"/>
          <w:szCs w:val="24"/>
        </w:rPr>
        <w:t>:</w:t>
      </w:r>
    </w:p>
    <w:p w:rsidR="00107B91" w:rsidRPr="004E7C4B" w:rsidRDefault="00107B91" w:rsidP="00107B91">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rFonts w:cs="Courier New"/>
          <w:szCs w:val="24"/>
        </w:rPr>
      </w:pPr>
    </w:p>
    <w:p w:rsidR="00107B91" w:rsidRPr="004E7C4B" w:rsidRDefault="00107B91" w:rsidP="00107B91">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rFonts w:cs="Courier New"/>
          <w:szCs w:val="24"/>
        </w:rPr>
      </w:pPr>
    </w:p>
    <w:p w:rsidR="00107B91" w:rsidRPr="004E7C4B" w:rsidRDefault="00107B91" w:rsidP="00107B91">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Courier New"/>
          <w:b w:val="0"/>
          <w:sz w:val="19"/>
          <w:szCs w:val="19"/>
        </w:rPr>
      </w:pPr>
      <w:r>
        <w:rPr>
          <w:rFonts w:cs="Courier New"/>
          <w:b w:val="0"/>
          <w:sz w:val="19"/>
          <w:szCs w:val="19"/>
        </w:rPr>
        <w:t>Melissa Pavlack, Esquire</w:t>
      </w:r>
      <w:r>
        <w:rPr>
          <w:rFonts w:cs="Courier New"/>
          <w:b w:val="0"/>
          <w:sz w:val="19"/>
          <w:szCs w:val="19"/>
        </w:rPr>
        <w:tab/>
      </w:r>
      <w:r>
        <w:rPr>
          <w:rFonts w:cs="Courier New"/>
          <w:b w:val="0"/>
          <w:sz w:val="19"/>
          <w:szCs w:val="19"/>
        </w:rPr>
        <w:tab/>
      </w:r>
      <w:r>
        <w:rPr>
          <w:rFonts w:cs="Courier New"/>
          <w:b w:val="0"/>
          <w:sz w:val="19"/>
          <w:szCs w:val="19"/>
        </w:rPr>
        <w:tab/>
        <w:t>Attorney for Plaintiff/Appellee</w:t>
      </w:r>
      <w:r w:rsidRPr="004E7C4B">
        <w:rPr>
          <w:rFonts w:cs="Courier New"/>
          <w:b w:val="0"/>
          <w:sz w:val="19"/>
          <w:szCs w:val="19"/>
        </w:rPr>
        <w:t xml:space="preserve"> </w:t>
      </w:r>
    </w:p>
    <w:p w:rsidR="00107B91" w:rsidRPr="004E7C4B" w:rsidRDefault="00107B91" w:rsidP="00107B91">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Courier New"/>
          <w:b w:val="0"/>
          <w:sz w:val="19"/>
          <w:szCs w:val="19"/>
        </w:rPr>
      </w:pPr>
      <w:r>
        <w:rPr>
          <w:rFonts w:cs="Courier New"/>
          <w:b w:val="0"/>
          <w:sz w:val="19"/>
          <w:szCs w:val="19"/>
        </w:rPr>
        <w:t>James R. Nanovic, Esquire</w:t>
      </w:r>
      <w:r>
        <w:rPr>
          <w:rFonts w:cs="Courier New"/>
          <w:b w:val="0"/>
          <w:sz w:val="19"/>
          <w:szCs w:val="19"/>
        </w:rPr>
        <w:tab/>
      </w:r>
      <w:r>
        <w:rPr>
          <w:rFonts w:cs="Courier New"/>
          <w:b w:val="0"/>
          <w:sz w:val="19"/>
          <w:szCs w:val="19"/>
        </w:rPr>
        <w:tab/>
      </w:r>
      <w:r>
        <w:rPr>
          <w:rFonts w:cs="Courier New"/>
          <w:b w:val="0"/>
          <w:sz w:val="19"/>
          <w:szCs w:val="19"/>
        </w:rPr>
        <w:tab/>
      </w:r>
      <w:r w:rsidRPr="004E7C4B">
        <w:rPr>
          <w:rFonts w:cs="Courier New"/>
          <w:b w:val="0"/>
          <w:sz w:val="19"/>
          <w:szCs w:val="19"/>
        </w:rPr>
        <w:t>At</w:t>
      </w:r>
      <w:r>
        <w:rPr>
          <w:rFonts w:cs="Courier New"/>
          <w:b w:val="0"/>
          <w:sz w:val="19"/>
          <w:szCs w:val="19"/>
        </w:rPr>
        <w:t>torney for Defendant/Appellants</w:t>
      </w:r>
    </w:p>
    <w:p w:rsidR="00107B91" w:rsidRPr="004E7C4B" w:rsidRDefault="00107B91" w:rsidP="00107B91">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Courier New"/>
          <w:b w:val="0"/>
          <w:sz w:val="20"/>
        </w:rPr>
      </w:pPr>
    </w:p>
    <w:p w:rsidR="00107B91" w:rsidRPr="004E7C4B" w:rsidRDefault="00107B91" w:rsidP="00107B91">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Courier New"/>
          <w:b w:val="0"/>
          <w:sz w:val="20"/>
        </w:rPr>
      </w:pPr>
    </w:p>
    <w:p w:rsidR="00107B91" w:rsidRPr="004E7C4B" w:rsidRDefault="00107B91" w:rsidP="00107B91">
      <w:pPr>
        <w:pStyle w:val="Heading2"/>
        <w:rPr>
          <w:bCs w:val="0"/>
        </w:rPr>
      </w:pPr>
      <w:r>
        <w:rPr>
          <w:bCs w:val="0"/>
        </w:rPr>
        <w:t>MEMORDANDUM OPINION</w:t>
      </w:r>
      <w:r>
        <w:rPr>
          <w:rStyle w:val="FootnoteReference"/>
          <w:bCs w:val="0"/>
        </w:rPr>
        <w:footnoteReference w:id="1"/>
      </w:r>
    </w:p>
    <w:p w:rsidR="00107B91" w:rsidRPr="004E7C4B" w:rsidRDefault="00107B91" w:rsidP="00107B91">
      <w:pPr>
        <w:pStyle w:val="BodyText"/>
        <w:widowControl w:val="0"/>
        <w:tabs>
          <w:tab w:val="clear" w:pos="-720"/>
          <w:tab w:val="clear" w:pos="0"/>
        </w:tabs>
        <w:spacing w:line="360" w:lineRule="atLeast"/>
        <w:rPr>
          <w:rFonts w:cs="Courier New"/>
          <w:b w:val="0"/>
        </w:rPr>
      </w:pPr>
    </w:p>
    <w:p w:rsidR="00107B91" w:rsidRDefault="00107B91" w:rsidP="00107B91">
      <w:pPr>
        <w:pStyle w:val="BodyText"/>
        <w:widowControl w:val="0"/>
        <w:spacing w:line="480" w:lineRule="auto"/>
        <w:rPr>
          <w:rFonts w:cs="Courier New"/>
          <w:b w:val="0"/>
        </w:rPr>
      </w:pPr>
      <w:r>
        <w:rPr>
          <w:rFonts w:cs="Courier New"/>
          <w:b w:val="0"/>
        </w:rPr>
        <w:t>Matika, J. – April_____, 2012</w:t>
      </w:r>
    </w:p>
    <w:p w:rsidR="00107B91" w:rsidRDefault="00107B91" w:rsidP="00107B91">
      <w:pPr>
        <w:pStyle w:val="BodyText"/>
        <w:widowControl w:val="0"/>
        <w:spacing w:line="480" w:lineRule="auto"/>
        <w:rPr>
          <w:rFonts w:cs="Courier New"/>
          <w:b w:val="0"/>
        </w:rPr>
      </w:pPr>
      <w:r>
        <w:rPr>
          <w:rFonts w:cs="Courier New"/>
          <w:b w:val="0"/>
        </w:rPr>
        <w:tab/>
        <w:t xml:space="preserve">On August 29, 2007, Plaintiff filed a complaint in divorce which included claims for not only divorce, but also equitable distribution, alimony pendent lite, post-divorce alimony, counsel fees, costs and expenses.  A counterclaim for alimony, alimony pendent lite, counsel fees, costs and expense was filed by the Defendant on May 22, 2009.  On August 26, 2009, a Master was appointed to address and attempt to resolve the issues raised in the pleadings.  Several pre-trial conferences were held, one which of occurred on March 7, 2011, that purportedly resulted in a resolution of all the issues.  In </w:t>
      </w:r>
      <w:r>
        <w:rPr>
          <w:rFonts w:cs="Courier New"/>
          <w:b w:val="0"/>
        </w:rPr>
        <w:lastRenderedPageBreak/>
        <w:t>understanding that the parties arrived at an agreement, the Divorce Master did not conduct a hearing and consequently no testimony was ever taken nor any record created evidencing that the parties had come to an agreement in resolving the issues before the Master.</w:t>
      </w:r>
    </w:p>
    <w:p w:rsidR="00107B91" w:rsidRDefault="00107B91" w:rsidP="00107B91">
      <w:pPr>
        <w:pStyle w:val="BodyText"/>
        <w:widowControl w:val="0"/>
        <w:spacing w:line="480" w:lineRule="auto"/>
        <w:rPr>
          <w:rFonts w:cs="Courier New"/>
          <w:b w:val="0"/>
        </w:rPr>
      </w:pPr>
      <w:r>
        <w:rPr>
          <w:rFonts w:cs="Courier New"/>
          <w:b w:val="0"/>
        </w:rPr>
        <w:tab/>
        <w:t xml:space="preserve">Notwithstanding, no report was filed by the Master until February 8, 2012, said report incorporating the purported agreement of the parties on all issues.  By simply filing the report, and having the proposed divorce decree immediately forwarded to the Court, the Master did not notice the parties of their right to file exceptions to the proposed report and decree.  As noted in his 1925(b) statement, following the entry of the Divorce Decree, Defendant objected to the decree claiming that an agreement was never reached by the parties, and specifically that </w:t>
      </w:r>
      <w:r>
        <w:rPr>
          <w:rFonts w:cs="Courier New"/>
          <w:b w:val="0"/>
          <w:u w:val="single"/>
        </w:rPr>
        <w:t>he</w:t>
      </w:r>
      <w:r>
        <w:rPr>
          <w:rFonts w:cs="Courier New"/>
          <w:b w:val="0"/>
        </w:rPr>
        <w:t xml:space="preserve"> never agreed as alleged therein.  Defendant further claimed a Master’s Report was never prepared from which he could file exceptions.</w:t>
      </w:r>
      <w:r>
        <w:rPr>
          <w:rStyle w:val="FootnoteReference"/>
          <w:rFonts w:cs="Courier New"/>
          <w:b w:val="0"/>
        </w:rPr>
        <w:footnoteReference w:id="2"/>
      </w:r>
      <w:r>
        <w:rPr>
          <w:rFonts w:cs="Courier New"/>
          <w:b w:val="0"/>
        </w:rPr>
        <w:t xml:space="preserve">  According to Defendant, had he been given this opportunity, he would have raised the procedural and substantive issues presented in the 1925(b) statement.  </w:t>
      </w:r>
    </w:p>
    <w:p w:rsidR="00107B91" w:rsidRDefault="00107B91" w:rsidP="00107B91">
      <w:pPr>
        <w:pStyle w:val="BodyText"/>
        <w:widowControl w:val="0"/>
        <w:spacing w:line="480" w:lineRule="auto"/>
        <w:rPr>
          <w:rFonts w:cs="Courier New"/>
          <w:b w:val="0"/>
        </w:rPr>
      </w:pPr>
      <w:r>
        <w:rPr>
          <w:rFonts w:cs="Courier New"/>
          <w:b w:val="0"/>
        </w:rPr>
        <w:tab/>
        <w:t xml:space="preserve">Under Pennsylvania Rules of Civil Procedure, when a </w:t>
      </w:r>
      <w:r>
        <w:rPr>
          <w:rFonts w:cs="Courier New"/>
          <w:b w:val="0"/>
        </w:rPr>
        <w:lastRenderedPageBreak/>
        <w:t xml:space="preserve">divorce case has been heard by a Master, a party to the case has the right to file exceptions to all or part of the Master’s report.  </w:t>
      </w:r>
      <w:r>
        <w:rPr>
          <w:rFonts w:cs="Courier New"/>
          <w:b w:val="0"/>
          <w:i/>
        </w:rPr>
        <w:t>Pa.R.C.P.</w:t>
      </w:r>
      <w:r>
        <w:rPr>
          <w:rFonts w:cs="Courier New"/>
          <w:b w:val="0"/>
        </w:rPr>
        <w:t xml:space="preserve"> 1920.55-2.  A party must raise exceptions within the certain prescribed time period or such objections are deemed waived.</w:t>
      </w:r>
      <w:r>
        <w:rPr>
          <w:rStyle w:val="FootnoteReference"/>
          <w:rFonts w:cs="Courier New"/>
          <w:b w:val="0"/>
        </w:rPr>
        <w:footnoteReference w:id="3"/>
      </w:r>
    </w:p>
    <w:p w:rsidR="00107B91" w:rsidRPr="00607C97" w:rsidRDefault="00107B91" w:rsidP="00107B91">
      <w:pPr>
        <w:pStyle w:val="BodyText"/>
        <w:widowControl w:val="0"/>
        <w:spacing w:line="480" w:lineRule="auto"/>
        <w:rPr>
          <w:rFonts w:cs="Courier New"/>
          <w:b w:val="0"/>
        </w:rPr>
      </w:pPr>
      <w:r>
        <w:rPr>
          <w:rFonts w:cs="Courier New"/>
          <w:b w:val="0"/>
        </w:rPr>
        <w:tab/>
        <w:t>In the case before us, since no notice was ever given to the parties of their right to file exceptions to the Master’s report, it was an error for the court to grant the divorce decree.</w:t>
      </w:r>
      <w:r>
        <w:rPr>
          <w:rStyle w:val="FootnoteReference"/>
          <w:rFonts w:cs="Courier New"/>
          <w:b w:val="0"/>
        </w:rPr>
        <w:footnoteReference w:id="4"/>
      </w:r>
      <w:r>
        <w:rPr>
          <w:rFonts w:cs="Courier New"/>
          <w:b w:val="0"/>
        </w:rPr>
        <w:t xml:space="preserve">  Therefore, we ask the Superior Court to remand this case back to the Trial Court with instructions </w:t>
      </w:r>
      <w:r>
        <w:rPr>
          <w:rFonts w:cs="Courier New"/>
          <w:b w:val="0"/>
        </w:rPr>
        <w:lastRenderedPageBreak/>
        <w:t xml:space="preserve">to provide notice to the parties of the Master’s report and their right to file exceptions to that report.  In accordance with </w:t>
      </w:r>
      <w:r>
        <w:rPr>
          <w:rFonts w:cs="Courier New"/>
          <w:b w:val="0"/>
          <w:i/>
        </w:rPr>
        <w:t>Pa.R.C.P. 1920.55-2(b)</w:t>
      </w:r>
      <w:r>
        <w:rPr>
          <w:rFonts w:cs="Courier New"/>
          <w:b w:val="0"/>
        </w:rPr>
        <w:t>, if exceptions are then filed, the case would proceed accordingly.</w:t>
      </w:r>
    </w:p>
    <w:p w:rsidR="00107B91" w:rsidRDefault="00107B91" w:rsidP="00107B91">
      <w:pPr>
        <w:pStyle w:val="NoSpacing"/>
        <w:spacing w:line="480" w:lineRule="auto"/>
        <w:ind w:left="1080" w:hanging="1080"/>
        <w:rPr>
          <w:rFonts w:cs="Courier New"/>
          <w:b w:val="0"/>
        </w:rPr>
      </w:pPr>
      <w:r w:rsidRPr="004E7C4B">
        <w:rPr>
          <w:rFonts w:cs="Courier New"/>
          <w:b w:val="0"/>
        </w:rPr>
        <w:tab/>
      </w:r>
      <w:r w:rsidRPr="004E7C4B">
        <w:rPr>
          <w:rFonts w:cs="Courier New"/>
          <w:b w:val="0"/>
        </w:rPr>
        <w:tab/>
      </w:r>
      <w:r w:rsidRPr="004E7C4B">
        <w:rPr>
          <w:rFonts w:cs="Courier New"/>
          <w:b w:val="0"/>
        </w:rPr>
        <w:tab/>
      </w:r>
      <w:r w:rsidRPr="004E7C4B">
        <w:rPr>
          <w:rFonts w:cs="Courier New"/>
          <w:b w:val="0"/>
        </w:rPr>
        <w:tab/>
      </w:r>
      <w:r w:rsidRPr="004E7C4B">
        <w:rPr>
          <w:rFonts w:cs="Courier New"/>
          <w:b w:val="0"/>
        </w:rPr>
        <w:tab/>
      </w:r>
      <w:r w:rsidRPr="004E7C4B">
        <w:rPr>
          <w:rFonts w:cs="Courier New"/>
          <w:b w:val="0"/>
        </w:rPr>
        <w:tab/>
      </w:r>
      <w:r w:rsidRPr="004E7C4B">
        <w:rPr>
          <w:rFonts w:cs="Courier New"/>
          <w:b w:val="0"/>
        </w:rPr>
        <w:tab/>
      </w:r>
      <w:r w:rsidRPr="004E7C4B">
        <w:rPr>
          <w:rFonts w:cs="Courier New"/>
          <w:b w:val="0"/>
        </w:rPr>
        <w:tab/>
      </w:r>
    </w:p>
    <w:p w:rsidR="00107B91" w:rsidRDefault="00107B91" w:rsidP="00107B91">
      <w:pPr>
        <w:pStyle w:val="NoSpacing"/>
        <w:spacing w:line="480" w:lineRule="auto"/>
        <w:ind w:left="1080" w:hanging="1080"/>
        <w:rPr>
          <w:rFonts w:cs="Courier New"/>
          <w:b w:val="0"/>
        </w:rPr>
      </w:pPr>
    </w:p>
    <w:p w:rsidR="00107B91" w:rsidRPr="004E7C4B" w:rsidRDefault="00107B91" w:rsidP="00107B91">
      <w:pPr>
        <w:pStyle w:val="NoSpacing"/>
        <w:spacing w:line="480" w:lineRule="auto"/>
        <w:ind w:left="4680" w:firstLine="360"/>
        <w:rPr>
          <w:rFonts w:cs="Courier New"/>
        </w:rPr>
      </w:pPr>
      <w:r w:rsidRPr="004E7C4B">
        <w:rPr>
          <w:rFonts w:cs="Courier New"/>
        </w:rPr>
        <w:t>BY THE COURT:</w:t>
      </w:r>
    </w:p>
    <w:p w:rsidR="00107B91" w:rsidRPr="004E7C4B" w:rsidRDefault="00107B91" w:rsidP="00107B91">
      <w:pPr>
        <w:pStyle w:val="NoSpacing"/>
        <w:spacing w:line="480" w:lineRule="auto"/>
        <w:ind w:left="1080" w:hanging="1080"/>
        <w:rPr>
          <w:rFonts w:cs="Courier New"/>
          <w:b w:val="0"/>
        </w:rPr>
      </w:pPr>
    </w:p>
    <w:p w:rsidR="00107B91" w:rsidRDefault="00107B91" w:rsidP="00107B91">
      <w:pPr>
        <w:pStyle w:val="NoSpacing"/>
        <w:ind w:left="1080" w:hanging="1080"/>
        <w:rPr>
          <w:rFonts w:cs="Courier New"/>
          <w:b w:val="0"/>
        </w:rPr>
      </w:pPr>
      <w:r w:rsidRPr="004E7C4B">
        <w:rPr>
          <w:rFonts w:cs="Courier New"/>
          <w:b w:val="0"/>
        </w:rPr>
        <w:tab/>
      </w:r>
      <w:r w:rsidRPr="004E7C4B">
        <w:rPr>
          <w:rFonts w:cs="Courier New"/>
          <w:b w:val="0"/>
        </w:rPr>
        <w:tab/>
      </w:r>
      <w:r w:rsidRPr="004E7C4B">
        <w:rPr>
          <w:rFonts w:cs="Courier New"/>
          <w:b w:val="0"/>
        </w:rPr>
        <w:tab/>
      </w:r>
      <w:r w:rsidRPr="004E7C4B">
        <w:rPr>
          <w:rFonts w:cs="Courier New"/>
          <w:b w:val="0"/>
        </w:rPr>
        <w:tab/>
      </w:r>
      <w:r w:rsidRPr="004E7C4B">
        <w:rPr>
          <w:rFonts w:cs="Courier New"/>
          <w:b w:val="0"/>
        </w:rPr>
        <w:tab/>
      </w:r>
      <w:r w:rsidRPr="004E7C4B">
        <w:rPr>
          <w:rFonts w:cs="Courier New"/>
          <w:b w:val="0"/>
        </w:rPr>
        <w:tab/>
      </w:r>
      <w:r w:rsidRPr="004E7C4B">
        <w:rPr>
          <w:rFonts w:cs="Courier New"/>
          <w:b w:val="0"/>
        </w:rPr>
        <w:tab/>
      </w:r>
      <w:r w:rsidRPr="004E7C4B">
        <w:rPr>
          <w:rFonts w:cs="Courier New"/>
          <w:b w:val="0"/>
        </w:rPr>
        <w:tab/>
      </w:r>
      <w:r>
        <w:rPr>
          <w:rFonts w:cs="Courier New"/>
          <w:b w:val="0"/>
        </w:rPr>
        <w:tab/>
      </w:r>
      <w:r>
        <w:rPr>
          <w:rFonts w:cs="Courier New"/>
          <w:b w:val="0"/>
        </w:rPr>
        <w:tab/>
      </w:r>
    </w:p>
    <w:p w:rsidR="00107B91" w:rsidRPr="004E7C4B" w:rsidRDefault="00107B91" w:rsidP="00107B91">
      <w:pPr>
        <w:pStyle w:val="NoSpacing"/>
        <w:jc w:val="right"/>
        <w:rPr>
          <w:rFonts w:cs="Courier New"/>
          <w:b w:val="0"/>
        </w:rPr>
      </w:pPr>
      <w:r>
        <w:rPr>
          <w:rFonts w:cs="Courier New"/>
          <w:b w:val="0"/>
        </w:rPr>
        <w:t>__</w:t>
      </w:r>
      <w:r w:rsidRPr="004E7C4B">
        <w:rPr>
          <w:rFonts w:cs="Courier New"/>
          <w:b w:val="0"/>
        </w:rPr>
        <w:t>_______________________</w:t>
      </w:r>
    </w:p>
    <w:p w:rsidR="00107B91" w:rsidRPr="004E7C4B" w:rsidRDefault="00107B91" w:rsidP="00107B91">
      <w:pPr>
        <w:pStyle w:val="NoSpacing"/>
        <w:ind w:left="1080" w:hanging="1080"/>
        <w:rPr>
          <w:rFonts w:cs="Courier New"/>
        </w:rPr>
      </w:pPr>
      <w:r w:rsidRPr="004E7C4B">
        <w:rPr>
          <w:rFonts w:cs="Courier New"/>
          <w:b w:val="0"/>
        </w:rPr>
        <w:tab/>
      </w:r>
      <w:r w:rsidRPr="004E7C4B">
        <w:rPr>
          <w:rFonts w:cs="Courier New"/>
          <w:b w:val="0"/>
        </w:rPr>
        <w:tab/>
      </w:r>
      <w:r w:rsidRPr="004E7C4B">
        <w:rPr>
          <w:rFonts w:cs="Courier New"/>
          <w:b w:val="0"/>
        </w:rPr>
        <w:tab/>
      </w:r>
      <w:r w:rsidRPr="004E7C4B">
        <w:rPr>
          <w:rFonts w:cs="Courier New"/>
          <w:b w:val="0"/>
        </w:rPr>
        <w:tab/>
      </w:r>
      <w:r w:rsidRPr="004E7C4B">
        <w:rPr>
          <w:rFonts w:cs="Courier New"/>
          <w:b w:val="0"/>
        </w:rPr>
        <w:tab/>
      </w:r>
      <w:r w:rsidRPr="004E7C4B">
        <w:rPr>
          <w:rFonts w:cs="Courier New"/>
          <w:b w:val="0"/>
        </w:rPr>
        <w:tab/>
      </w:r>
      <w:r w:rsidRPr="004E7C4B">
        <w:rPr>
          <w:rFonts w:cs="Courier New"/>
          <w:b w:val="0"/>
        </w:rPr>
        <w:tab/>
      </w:r>
      <w:r w:rsidRPr="004E7C4B">
        <w:rPr>
          <w:rFonts w:cs="Courier New"/>
        </w:rPr>
        <w:t>Joseph J. Matika, J.</w:t>
      </w:r>
    </w:p>
    <w:p w:rsidR="00107B91" w:rsidRPr="004E7C4B" w:rsidRDefault="00107B91" w:rsidP="00107B91">
      <w:pPr>
        <w:rPr>
          <w:rFonts w:cs="Courier New"/>
        </w:rPr>
      </w:pPr>
    </w:p>
    <w:p w:rsidR="00716D80" w:rsidRDefault="00716D80"/>
    <w:sectPr w:rsidR="00716D80" w:rsidSect="00711665">
      <w:footerReference w:type="default" r:id="rId6"/>
      <w:pgSz w:w="12240" w:h="15840"/>
      <w:pgMar w:top="1440" w:right="1800" w:bottom="1440" w:left="1800" w:header="720" w:footer="5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B91" w:rsidRDefault="00107B91" w:rsidP="00107B91">
      <w:r>
        <w:separator/>
      </w:r>
    </w:p>
  </w:endnote>
  <w:endnote w:type="continuationSeparator" w:id="0">
    <w:p w:rsidR="00107B91" w:rsidRDefault="00107B91" w:rsidP="00107B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b w:val="0"/>
        <w:sz w:val="22"/>
        <w:szCs w:val="22"/>
      </w:rPr>
      <w:id w:val="4002457"/>
      <w:docPartObj>
        <w:docPartGallery w:val="Page Numbers (Bottom of Page)"/>
        <w:docPartUnique/>
      </w:docPartObj>
    </w:sdtPr>
    <w:sdtEndPr/>
    <w:sdtContent>
      <w:p w:rsidR="00621FE7" w:rsidRDefault="00107B91" w:rsidP="004B0E1C">
        <w:pPr>
          <w:pStyle w:val="Footer"/>
          <w:tabs>
            <w:tab w:val="clear" w:pos="9360"/>
          </w:tabs>
          <w:rPr>
            <w:rFonts w:ascii="Times New Roman" w:hAnsi="Times New Roman"/>
            <w:b w:val="0"/>
            <w:sz w:val="22"/>
            <w:szCs w:val="22"/>
          </w:rPr>
        </w:pPr>
      </w:p>
      <w:p w:rsidR="00621FE7" w:rsidRDefault="00107B91">
        <w:pPr>
          <w:pStyle w:val="Footer"/>
          <w:jc w:val="center"/>
          <w:rPr>
            <w:rFonts w:ascii="Times New Roman" w:hAnsi="Times New Roman"/>
            <w:b w:val="0"/>
            <w:sz w:val="22"/>
            <w:szCs w:val="22"/>
          </w:rPr>
        </w:pPr>
        <w:r w:rsidRPr="00662609">
          <w:rPr>
            <w:rFonts w:ascii="Times New Roman" w:hAnsi="Times New Roman"/>
            <w:b w:val="0"/>
            <w:sz w:val="22"/>
            <w:szCs w:val="22"/>
          </w:rPr>
          <w:fldChar w:fldCharType="begin"/>
        </w:r>
        <w:r w:rsidRPr="00662609">
          <w:rPr>
            <w:rFonts w:ascii="Times New Roman" w:hAnsi="Times New Roman"/>
            <w:b w:val="0"/>
            <w:sz w:val="22"/>
            <w:szCs w:val="22"/>
          </w:rPr>
          <w:instrText xml:space="preserve"> PAGE   \* MERGEFORMAT </w:instrText>
        </w:r>
        <w:r w:rsidRPr="00662609">
          <w:rPr>
            <w:rFonts w:ascii="Times New Roman" w:hAnsi="Times New Roman"/>
            <w:b w:val="0"/>
            <w:sz w:val="22"/>
            <w:szCs w:val="22"/>
          </w:rPr>
          <w:fldChar w:fldCharType="separate"/>
        </w:r>
        <w:r>
          <w:rPr>
            <w:rFonts w:ascii="Times New Roman" w:hAnsi="Times New Roman"/>
            <w:b w:val="0"/>
            <w:noProof/>
            <w:sz w:val="22"/>
            <w:szCs w:val="22"/>
          </w:rPr>
          <w:t>1</w:t>
        </w:r>
        <w:r w:rsidRPr="00662609">
          <w:rPr>
            <w:rFonts w:ascii="Times New Roman" w:hAnsi="Times New Roman"/>
            <w:b w:val="0"/>
            <w:sz w:val="22"/>
            <w:szCs w:val="22"/>
          </w:rPr>
          <w:fldChar w:fldCharType="end"/>
        </w:r>
      </w:p>
      <w:p w:rsidR="00621FE7" w:rsidRPr="00662609" w:rsidRDefault="00107B91">
        <w:pPr>
          <w:pStyle w:val="Footer"/>
          <w:jc w:val="center"/>
          <w:rPr>
            <w:rFonts w:ascii="Times New Roman" w:hAnsi="Times New Roman"/>
            <w:b w:val="0"/>
            <w:sz w:val="22"/>
            <w:szCs w:val="22"/>
          </w:rPr>
        </w:pPr>
        <w:r>
          <w:rPr>
            <w:rFonts w:ascii="Times New Roman" w:hAnsi="Times New Roman"/>
            <w:b w:val="0"/>
            <w:sz w:val="22"/>
            <w:szCs w:val="22"/>
          </w:rPr>
          <w:t>[FM-23-12]</w:t>
        </w:r>
      </w:p>
    </w:sdtContent>
  </w:sdt>
  <w:p w:rsidR="00621FE7" w:rsidRPr="00662609" w:rsidRDefault="00107B91">
    <w:pPr>
      <w:pStyle w:val="Footer"/>
      <w:rPr>
        <w:rFonts w:ascii="Times New Roman" w:hAnsi="Times New Roman"/>
        <w:b w:val="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B91" w:rsidRDefault="00107B91" w:rsidP="00107B91">
      <w:r>
        <w:separator/>
      </w:r>
    </w:p>
  </w:footnote>
  <w:footnote w:type="continuationSeparator" w:id="0">
    <w:p w:rsidR="00107B91" w:rsidRDefault="00107B91" w:rsidP="00107B91">
      <w:r>
        <w:continuationSeparator/>
      </w:r>
    </w:p>
  </w:footnote>
  <w:footnote w:id="1">
    <w:p w:rsidR="00107B91" w:rsidRDefault="00107B91" w:rsidP="00107B91">
      <w:pPr>
        <w:pStyle w:val="FootnoteText"/>
      </w:pPr>
      <w:r>
        <w:rPr>
          <w:rStyle w:val="FootnoteReference"/>
        </w:rPr>
        <w:footnoteRef/>
      </w:r>
      <w:r>
        <w:t xml:space="preserve"> </w:t>
      </w:r>
      <w:r w:rsidRPr="00B9274F">
        <w:rPr>
          <w:b w:val="0"/>
        </w:rPr>
        <w:t>This Opinion is prepared and filed in accordance with Pa.R.A.P., Rule 1925(b).</w:t>
      </w:r>
    </w:p>
  </w:footnote>
  <w:footnote w:id="2">
    <w:p w:rsidR="00107B91" w:rsidRPr="00BE61DE" w:rsidRDefault="00107B91" w:rsidP="00107B91">
      <w:pPr>
        <w:pStyle w:val="FootnoteText"/>
        <w:rPr>
          <w:b w:val="0"/>
        </w:rPr>
      </w:pPr>
      <w:r>
        <w:rPr>
          <w:rStyle w:val="FootnoteReference"/>
        </w:rPr>
        <w:footnoteRef/>
      </w:r>
      <w:r>
        <w:t xml:space="preserve"> </w:t>
      </w:r>
      <w:r>
        <w:rPr>
          <w:b w:val="0"/>
        </w:rPr>
        <w:t>Defendant is incorrect in this assertion.  The docket entries in this case would suggest that the Report which was prepared was never sent to the parties.  Thus, the basis for Defendant believing one was not prepared.</w:t>
      </w:r>
    </w:p>
  </w:footnote>
  <w:footnote w:id="3">
    <w:p w:rsidR="00107B91" w:rsidRDefault="00107B91" w:rsidP="00107B91">
      <w:pPr>
        <w:pStyle w:val="FootnoteText"/>
        <w:rPr>
          <w:b w:val="0"/>
        </w:rPr>
      </w:pPr>
      <w:r>
        <w:rPr>
          <w:rStyle w:val="FootnoteReference"/>
        </w:rPr>
        <w:footnoteRef/>
      </w:r>
      <w:r>
        <w:t xml:space="preserve"> </w:t>
      </w:r>
      <w:r>
        <w:rPr>
          <w:b w:val="0"/>
        </w:rPr>
        <w:t>Pennsylvania Rule of Civil Procedure 1920.55-2 states in pertinent part:</w:t>
      </w:r>
    </w:p>
    <w:p w:rsidR="00107B91" w:rsidRPr="00BE61DE" w:rsidRDefault="00107B91" w:rsidP="00107B91">
      <w:pPr>
        <w:ind w:left="432" w:right="432"/>
        <w:rPr>
          <w:rFonts w:cs="Courier New"/>
          <w:b w:val="0"/>
          <w:sz w:val="20"/>
        </w:rPr>
      </w:pPr>
      <w:r w:rsidRPr="00BE61DE">
        <w:rPr>
          <w:rFonts w:cs="Courier New"/>
          <w:b w:val="0"/>
          <w:sz w:val="20"/>
        </w:rPr>
        <w:t>(a) After conclusion of the hearing, the master shall:</w:t>
      </w:r>
    </w:p>
    <w:p w:rsidR="00107B91" w:rsidRPr="00BE61DE" w:rsidRDefault="00107B91" w:rsidP="00107B91">
      <w:pPr>
        <w:ind w:left="720" w:right="720"/>
        <w:rPr>
          <w:rFonts w:cs="Courier New"/>
          <w:b w:val="0"/>
          <w:sz w:val="20"/>
        </w:rPr>
      </w:pPr>
      <w:r w:rsidRPr="00BE61DE">
        <w:rPr>
          <w:rFonts w:cs="Courier New"/>
          <w:b w:val="0"/>
          <w:sz w:val="20"/>
        </w:rPr>
        <w:t>(1) file the record and the report within;</w:t>
      </w:r>
    </w:p>
    <w:p w:rsidR="00107B91" w:rsidRPr="00BE61DE" w:rsidRDefault="00107B91" w:rsidP="00107B91">
      <w:pPr>
        <w:ind w:left="1008" w:right="1008"/>
        <w:rPr>
          <w:rFonts w:cs="Courier New"/>
          <w:b w:val="0"/>
          <w:sz w:val="20"/>
        </w:rPr>
      </w:pPr>
      <w:r w:rsidRPr="00BE61DE">
        <w:rPr>
          <w:rFonts w:cs="Courier New"/>
          <w:b w:val="0"/>
          <w:sz w:val="20"/>
        </w:rPr>
        <w:t>(i) twenty days in uncontested actions or;</w:t>
      </w:r>
    </w:p>
    <w:p w:rsidR="00107B91" w:rsidRPr="00BE61DE" w:rsidRDefault="00107B91" w:rsidP="00107B91">
      <w:pPr>
        <w:ind w:left="1008" w:right="1008"/>
        <w:rPr>
          <w:rFonts w:cs="Courier New"/>
          <w:b w:val="0"/>
          <w:sz w:val="20"/>
        </w:rPr>
      </w:pPr>
      <w:r w:rsidRPr="00BE61DE">
        <w:rPr>
          <w:rFonts w:cs="Courier New"/>
          <w:b w:val="0"/>
          <w:sz w:val="20"/>
        </w:rPr>
        <w:t>(ii) thirty days after the receipt of the transcript by the master in contested actions; and</w:t>
      </w:r>
    </w:p>
    <w:p w:rsidR="00107B91" w:rsidRPr="00BE61DE" w:rsidRDefault="00107B91" w:rsidP="00107B91">
      <w:pPr>
        <w:ind w:left="720" w:right="720"/>
        <w:rPr>
          <w:rFonts w:cs="Courier New"/>
          <w:b w:val="0"/>
          <w:sz w:val="20"/>
        </w:rPr>
      </w:pPr>
      <w:r w:rsidRPr="00BE61DE">
        <w:rPr>
          <w:rFonts w:cs="Courier New"/>
          <w:b w:val="0"/>
          <w:sz w:val="20"/>
        </w:rPr>
        <w:t>(2) immediately serve upon counsel for each party, or, if unrepresented, upon the party, a copy of the report and recommendation and written notice of the right to file exceptions.</w:t>
      </w:r>
    </w:p>
    <w:p w:rsidR="00107B91" w:rsidRPr="00BE61DE" w:rsidRDefault="00107B91" w:rsidP="00107B91">
      <w:pPr>
        <w:ind w:left="432" w:right="432"/>
        <w:rPr>
          <w:rFonts w:cs="Courier New"/>
          <w:b w:val="0"/>
          <w:sz w:val="20"/>
        </w:rPr>
      </w:pPr>
      <w:r w:rsidRPr="00BE61DE">
        <w:rPr>
          <w:rFonts w:cs="Courier New"/>
          <w:b w:val="0"/>
          <w:sz w:val="20"/>
        </w:rPr>
        <w:t>(b) Within twenty days of the date of receipt or the date of mailing of the master's report and recommendation, whichever occurs first, any party may file exceptions to the report or any part thereof, to rulings on objections to evidence, to statements or findings of fact, to conclusions of law, or to any other matters occurring during the hearing. Each exception shall set forth a separate objection precisely and without discussion. Matters not covered by exceptions are deemed waived unless, prior to entry of the final decree, leave is granted to file exceptions raising those matters.</w:t>
      </w:r>
    </w:p>
    <w:p w:rsidR="00107B91" w:rsidRPr="00621FE7" w:rsidRDefault="00107B91" w:rsidP="00107B91">
      <w:pPr>
        <w:ind w:left="432" w:right="432"/>
        <w:rPr>
          <w:rFonts w:cs="Courier New"/>
          <w:b w:val="0"/>
          <w:sz w:val="20"/>
        </w:rPr>
      </w:pPr>
      <w:r w:rsidRPr="00621FE7">
        <w:rPr>
          <w:rFonts w:cs="Courier New"/>
          <w:b w:val="0"/>
          <w:sz w:val="20"/>
        </w:rPr>
        <w:t>(c) If exceptions are filed, any other party may file exceptions within twenty days of the date of service of the original exceptions. The court shall hear argument on the exceptions and enter a final decree.</w:t>
      </w:r>
    </w:p>
    <w:p w:rsidR="00107B91" w:rsidRDefault="00107B91" w:rsidP="00107B91">
      <w:pPr>
        <w:rPr>
          <w:rFonts w:cs="Courier New"/>
          <w:b w:val="0"/>
          <w:sz w:val="20"/>
        </w:rPr>
      </w:pPr>
    </w:p>
    <w:p w:rsidR="00107B91" w:rsidRPr="00621FE7" w:rsidRDefault="00107B91" w:rsidP="00107B91">
      <w:pPr>
        <w:rPr>
          <w:rFonts w:cs="Courier New"/>
          <w:b w:val="0"/>
          <w:sz w:val="20"/>
        </w:rPr>
      </w:pPr>
      <w:r w:rsidRPr="00621FE7">
        <w:rPr>
          <w:rFonts w:cs="Courier New"/>
          <w:b w:val="0"/>
          <w:sz w:val="20"/>
        </w:rPr>
        <w:t>Pa. R. Civ. P. 1920.55-2</w:t>
      </w:r>
    </w:p>
    <w:p w:rsidR="00107B91" w:rsidRPr="00BE61DE" w:rsidRDefault="00107B91" w:rsidP="00107B91">
      <w:pPr>
        <w:pStyle w:val="FootnoteText"/>
        <w:rPr>
          <w:b w:val="0"/>
        </w:rPr>
      </w:pPr>
    </w:p>
  </w:footnote>
  <w:footnote w:id="4">
    <w:p w:rsidR="00107B91" w:rsidRPr="00621FE7" w:rsidRDefault="00107B91" w:rsidP="00107B91">
      <w:pPr>
        <w:pStyle w:val="FootnoteText"/>
        <w:rPr>
          <w:b w:val="0"/>
        </w:rPr>
      </w:pPr>
      <w:r>
        <w:rPr>
          <w:rStyle w:val="FootnoteReference"/>
        </w:rPr>
        <w:footnoteRef/>
      </w:r>
      <w:r>
        <w:t xml:space="preserve"> </w:t>
      </w:r>
      <w:r>
        <w:rPr>
          <w:b w:val="0"/>
        </w:rPr>
        <w:t>Defendant also alleges that he would have challenge the existence of the purported agreement, but did not have the right to do so because of his inability to file exceptions due to the lack of compliance with the notice requirements as set forth in Pa.R.C.P. 1920.55-2.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107B91"/>
    <w:rsid w:val="00107B91"/>
    <w:rsid w:val="00215AF9"/>
    <w:rsid w:val="00716D80"/>
    <w:rsid w:val="00A538F2"/>
    <w:rsid w:val="00D17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B91"/>
    <w:pPr>
      <w:spacing w:after="0" w:line="240" w:lineRule="auto"/>
    </w:pPr>
    <w:rPr>
      <w:rFonts w:ascii="Courier New" w:eastAsia="Times New Roman" w:hAnsi="Courier New" w:cs="Times New Roman"/>
      <w:b/>
      <w:sz w:val="24"/>
      <w:szCs w:val="20"/>
    </w:rPr>
  </w:style>
  <w:style w:type="paragraph" w:styleId="Heading2">
    <w:name w:val="heading 2"/>
    <w:basedOn w:val="Normal"/>
    <w:next w:val="Normal"/>
    <w:link w:val="Heading2Char"/>
    <w:qFormat/>
    <w:rsid w:val="00107B91"/>
    <w:pPr>
      <w:keepNext/>
      <w:widowControl w:val="0"/>
      <w:tabs>
        <w:tab w:val="center" w:pos="4680"/>
      </w:tabs>
      <w:jc w:val="center"/>
      <w:outlineLvl w:val="1"/>
    </w:pPr>
    <w:rPr>
      <w:rFonts w:cs="Courier New"/>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7B91"/>
    <w:rPr>
      <w:rFonts w:ascii="Courier New" w:eastAsia="Times New Roman" w:hAnsi="Courier New" w:cs="Courier New"/>
      <w:b/>
      <w:bCs/>
      <w:sz w:val="24"/>
      <w:szCs w:val="20"/>
      <w:u w:val="single"/>
    </w:rPr>
  </w:style>
  <w:style w:type="paragraph" w:styleId="BodyText">
    <w:name w:val="Body Text"/>
    <w:basedOn w:val="Normal"/>
    <w:link w:val="BodyTextChar"/>
    <w:semiHidden/>
    <w:rsid w:val="00107B91"/>
    <w:pPr>
      <w:tabs>
        <w:tab w:val="left" w:pos="-9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style>
  <w:style w:type="character" w:customStyle="1" w:styleId="BodyTextChar">
    <w:name w:val="Body Text Char"/>
    <w:basedOn w:val="DefaultParagraphFont"/>
    <w:link w:val="BodyText"/>
    <w:semiHidden/>
    <w:rsid w:val="00107B91"/>
    <w:rPr>
      <w:rFonts w:ascii="Courier New" w:eastAsia="Times New Roman" w:hAnsi="Courier New" w:cs="Times New Roman"/>
      <w:b/>
      <w:sz w:val="24"/>
      <w:szCs w:val="20"/>
    </w:rPr>
  </w:style>
  <w:style w:type="paragraph" w:styleId="FootnoteText">
    <w:name w:val="footnote text"/>
    <w:basedOn w:val="Normal"/>
    <w:link w:val="FootnoteTextChar"/>
    <w:semiHidden/>
    <w:rsid w:val="00107B91"/>
    <w:rPr>
      <w:sz w:val="20"/>
    </w:rPr>
  </w:style>
  <w:style w:type="character" w:customStyle="1" w:styleId="FootnoteTextChar">
    <w:name w:val="Footnote Text Char"/>
    <w:basedOn w:val="DefaultParagraphFont"/>
    <w:link w:val="FootnoteText"/>
    <w:semiHidden/>
    <w:rsid w:val="00107B91"/>
    <w:rPr>
      <w:rFonts w:ascii="Courier New" w:eastAsia="Times New Roman" w:hAnsi="Courier New" w:cs="Times New Roman"/>
      <w:b/>
      <w:sz w:val="20"/>
      <w:szCs w:val="20"/>
    </w:rPr>
  </w:style>
  <w:style w:type="character" w:styleId="FootnoteReference">
    <w:name w:val="footnote reference"/>
    <w:basedOn w:val="DefaultParagraphFont"/>
    <w:semiHidden/>
    <w:rsid w:val="00107B91"/>
    <w:rPr>
      <w:vertAlign w:val="superscript"/>
    </w:rPr>
  </w:style>
  <w:style w:type="paragraph" w:styleId="Title">
    <w:name w:val="Title"/>
    <w:basedOn w:val="Normal"/>
    <w:link w:val="TitleChar"/>
    <w:qFormat/>
    <w:rsid w:val="00107B91"/>
    <w:pPr>
      <w:jc w:val="center"/>
    </w:pPr>
  </w:style>
  <w:style w:type="character" w:customStyle="1" w:styleId="TitleChar">
    <w:name w:val="Title Char"/>
    <w:basedOn w:val="DefaultParagraphFont"/>
    <w:link w:val="Title"/>
    <w:rsid w:val="00107B91"/>
    <w:rPr>
      <w:rFonts w:ascii="Courier New" w:eastAsia="Times New Roman" w:hAnsi="Courier New" w:cs="Times New Roman"/>
      <w:b/>
      <w:sz w:val="24"/>
      <w:szCs w:val="20"/>
    </w:rPr>
  </w:style>
  <w:style w:type="paragraph" w:styleId="Footer">
    <w:name w:val="footer"/>
    <w:basedOn w:val="Normal"/>
    <w:link w:val="FooterChar"/>
    <w:uiPriority w:val="99"/>
    <w:unhideWhenUsed/>
    <w:rsid w:val="00107B91"/>
    <w:pPr>
      <w:tabs>
        <w:tab w:val="center" w:pos="4680"/>
        <w:tab w:val="right" w:pos="9360"/>
      </w:tabs>
    </w:pPr>
  </w:style>
  <w:style w:type="character" w:customStyle="1" w:styleId="FooterChar">
    <w:name w:val="Footer Char"/>
    <w:basedOn w:val="DefaultParagraphFont"/>
    <w:link w:val="Footer"/>
    <w:uiPriority w:val="99"/>
    <w:rsid w:val="00107B91"/>
    <w:rPr>
      <w:rFonts w:ascii="Courier New" w:eastAsia="Times New Roman" w:hAnsi="Courier New" w:cs="Times New Roman"/>
      <w:b/>
      <w:sz w:val="24"/>
      <w:szCs w:val="20"/>
    </w:rPr>
  </w:style>
  <w:style w:type="paragraph" w:styleId="NoSpacing">
    <w:name w:val="No Spacing"/>
    <w:uiPriority w:val="1"/>
    <w:qFormat/>
    <w:rsid w:val="00107B91"/>
    <w:pPr>
      <w:spacing w:after="0" w:line="240" w:lineRule="auto"/>
    </w:pPr>
    <w:rPr>
      <w:rFonts w:ascii="Courier New" w:eastAsia="Times New Roman" w:hAnsi="Courier New"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455</Words>
  <Characters>2595</Characters>
  <Application>Microsoft Office Word</Application>
  <DocSecurity>0</DocSecurity>
  <Lines>21</Lines>
  <Paragraphs>6</Paragraphs>
  <ScaleCrop>false</ScaleCrop>
  <Company>Carbon County Courthouse</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cp:lastModifiedBy>
  <cp:revision>1</cp:revision>
  <dcterms:created xsi:type="dcterms:W3CDTF">2012-06-01T16:00:00Z</dcterms:created>
  <dcterms:modified xsi:type="dcterms:W3CDTF">2012-06-01T16:01:00Z</dcterms:modified>
</cp:coreProperties>
</file>