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354" w:rsidRPr="00C959B3" w:rsidRDefault="00394354" w:rsidP="00394354">
      <w:pPr>
        <w:pStyle w:val="Title"/>
        <w:rPr>
          <w:rFonts w:cs="Courier New"/>
          <w:sz w:val="23"/>
          <w:szCs w:val="23"/>
        </w:rPr>
      </w:pPr>
      <w:r w:rsidRPr="00C959B3">
        <w:rPr>
          <w:rFonts w:cs="Courier New"/>
          <w:sz w:val="23"/>
          <w:szCs w:val="23"/>
        </w:rPr>
        <w:t>IN THE COURT OF COMMON PLEAS OF CARBON COUNTY, PENNSYLVANIA</w:t>
      </w:r>
    </w:p>
    <w:p w:rsidR="00394354" w:rsidRPr="00C959B3" w:rsidRDefault="00394354" w:rsidP="00394354">
      <w:pPr>
        <w:tabs>
          <w:tab w:val="center" w:pos="4680"/>
        </w:tabs>
        <w:rPr>
          <w:rFonts w:cs="Courier New"/>
          <w:bCs/>
          <w:sz w:val="23"/>
          <w:szCs w:val="23"/>
        </w:rPr>
      </w:pPr>
      <w:r w:rsidRPr="00C959B3">
        <w:rPr>
          <w:rFonts w:cs="Courier New"/>
          <w:bCs/>
          <w:sz w:val="23"/>
          <w:szCs w:val="23"/>
        </w:rPr>
        <w:tab/>
        <w:t>CIVIL ACTION - LAW</w:t>
      </w:r>
    </w:p>
    <w:p w:rsidR="00394354" w:rsidRPr="00C959B3" w:rsidRDefault="00394354" w:rsidP="00394354">
      <w:pPr>
        <w:tabs>
          <w:tab w:val="center" w:pos="4680"/>
        </w:tabs>
        <w:rPr>
          <w:rFonts w:cs="Courier New"/>
          <w:bCs/>
          <w:sz w:val="23"/>
          <w:szCs w:val="23"/>
        </w:rPr>
      </w:pPr>
    </w:p>
    <w:p w:rsidR="00394354" w:rsidRPr="00C959B3" w:rsidRDefault="00394354" w:rsidP="00394354">
      <w:pPr>
        <w:pStyle w:val="BodyText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60"/>
        </w:tabs>
        <w:spacing w:line="240" w:lineRule="auto"/>
        <w:ind w:left="0"/>
        <w:rPr>
          <w:rFonts w:cs="Courier New"/>
          <w:b w:val="0"/>
          <w:snapToGrid w:val="0"/>
          <w:sz w:val="23"/>
          <w:szCs w:val="23"/>
        </w:rPr>
      </w:pPr>
      <w:r w:rsidRPr="00C959B3">
        <w:rPr>
          <w:rFonts w:cs="Courier New"/>
          <w:b w:val="0"/>
          <w:snapToGrid w:val="0"/>
          <w:sz w:val="23"/>
          <w:szCs w:val="23"/>
        </w:rPr>
        <w:t>CAPITAL ONE BANK (USA</w:t>
      </w:r>
      <w:proofErr w:type="gramStart"/>
      <w:r w:rsidRPr="00C959B3">
        <w:rPr>
          <w:rFonts w:cs="Courier New"/>
          <w:b w:val="0"/>
          <w:snapToGrid w:val="0"/>
          <w:sz w:val="23"/>
          <w:szCs w:val="23"/>
        </w:rPr>
        <w:t>),</w:t>
      </w:r>
      <w:r w:rsidRPr="00C959B3">
        <w:rPr>
          <w:rFonts w:cs="Courier New"/>
          <w:b w:val="0"/>
          <w:snapToGrid w:val="0"/>
          <w:sz w:val="23"/>
          <w:szCs w:val="23"/>
        </w:rPr>
        <w:tab/>
        <w:t>:</w:t>
      </w:r>
      <w:proofErr w:type="gramEnd"/>
    </w:p>
    <w:p w:rsidR="00394354" w:rsidRPr="00C959B3" w:rsidRDefault="00394354" w:rsidP="00394354">
      <w:pPr>
        <w:pStyle w:val="BodyText2"/>
        <w:tabs>
          <w:tab w:val="clear" w:pos="0"/>
          <w:tab w:val="clear" w:pos="720"/>
          <w:tab w:val="clear" w:pos="216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60"/>
        </w:tabs>
        <w:spacing w:line="240" w:lineRule="auto"/>
        <w:ind w:left="0"/>
        <w:rPr>
          <w:rFonts w:cs="Courier New"/>
          <w:b w:val="0"/>
          <w:sz w:val="23"/>
          <w:szCs w:val="23"/>
        </w:rPr>
      </w:pPr>
      <w:r w:rsidRPr="00C959B3">
        <w:rPr>
          <w:rFonts w:cs="Courier New"/>
          <w:b w:val="0"/>
          <w:sz w:val="23"/>
          <w:szCs w:val="23"/>
        </w:rPr>
        <w:tab/>
      </w:r>
      <w:r w:rsidRPr="00C959B3">
        <w:rPr>
          <w:rFonts w:cs="Courier New"/>
          <w:b w:val="0"/>
          <w:sz w:val="23"/>
          <w:szCs w:val="23"/>
        </w:rPr>
        <w:tab/>
        <w:t>:</w:t>
      </w:r>
    </w:p>
    <w:p w:rsidR="00394354" w:rsidRPr="00C959B3" w:rsidRDefault="00394354" w:rsidP="00394354">
      <w:pPr>
        <w:pStyle w:val="BodyText2"/>
        <w:tabs>
          <w:tab w:val="clear" w:pos="0"/>
          <w:tab w:val="clear" w:pos="720"/>
          <w:tab w:val="clear" w:pos="216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60"/>
        </w:tabs>
        <w:spacing w:line="240" w:lineRule="auto"/>
        <w:ind w:left="0"/>
        <w:rPr>
          <w:rFonts w:cs="Courier New"/>
          <w:b w:val="0"/>
          <w:sz w:val="23"/>
          <w:szCs w:val="23"/>
        </w:rPr>
      </w:pPr>
      <w:r w:rsidRPr="00C959B3">
        <w:rPr>
          <w:rFonts w:cs="Courier New"/>
          <w:b w:val="0"/>
          <w:sz w:val="23"/>
          <w:szCs w:val="23"/>
        </w:rPr>
        <w:tab/>
        <w:t>Plaintiff</w:t>
      </w:r>
      <w:r w:rsidRPr="00C959B3">
        <w:rPr>
          <w:rFonts w:cs="Courier New"/>
          <w:b w:val="0"/>
          <w:sz w:val="23"/>
          <w:szCs w:val="23"/>
        </w:rPr>
        <w:tab/>
        <w:t>:</w:t>
      </w:r>
    </w:p>
    <w:p w:rsidR="00394354" w:rsidRPr="00C959B3" w:rsidRDefault="00394354" w:rsidP="00394354">
      <w:pPr>
        <w:pStyle w:val="BodyText2"/>
        <w:tabs>
          <w:tab w:val="clear" w:pos="0"/>
          <w:tab w:val="clear" w:pos="720"/>
          <w:tab w:val="clear" w:pos="216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60"/>
        </w:tabs>
        <w:spacing w:line="240" w:lineRule="auto"/>
        <w:ind w:left="0"/>
        <w:rPr>
          <w:rFonts w:cs="Courier New"/>
          <w:b w:val="0"/>
          <w:sz w:val="23"/>
          <w:szCs w:val="23"/>
        </w:rPr>
      </w:pPr>
      <w:r w:rsidRPr="00C959B3">
        <w:rPr>
          <w:rFonts w:cs="Courier New"/>
          <w:b w:val="0"/>
          <w:sz w:val="23"/>
          <w:szCs w:val="23"/>
        </w:rPr>
        <w:tab/>
      </w:r>
      <w:r w:rsidRPr="00C959B3">
        <w:rPr>
          <w:rFonts w:cs="Courier New"/>
          <w:b w:val="0"/>
          <w:sz w:val="23"/>
          <w:szCs w:val="23"/>
        </w:rPr>
        <w:tab/>
        <w:t>:</w:t>
      </w:r>
    </w:p>
    <w:p w:rsidR="00394354" w:rsidRPr="00C959B3" w:rsidRDefault="00394354" w:rsidP="00394354">
      <w:pPr>
        <w:pStyle w:val="BodyText2"/>
        <w:tabs>
          <w:tab w:val="clear" w:pos="0"/>
          <w:tab w:val="clear" w:pos="720"/>
          <w:tab w:val="clear" w:pos="216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60"/>
        </w:tabs>
        <w:spacing w:line="240" w:lineRule="auto"/>
        <w:ind w:left="0"/>
        <w:rPr>
          <w:rFonts w:cs="Courier New"/>
          <w:b w:val="0"/>
          <w:noProof/>
          <w:sz w:val="23"/>
          <w:szCs w:val="23"/>
        </w:rPr>
      </w:pPr>
      <w:r w:rsidRPr="00C959B3">
        <w:rPr>
          <w:rFonts w:cs="Courier New"/>
          <w:b w:val="0"/>
          <w:sz w:val="23"/>
          <w:szCs w:val="23"/>
        </w:rPr>
        <w:tab/>
        <w:t>vs.</w:t>
      </w:r>
      <w:r w:rsidRPr="00C959B3">
        <w:rPr>
          <w:rFonts w:cs="Courier New"/>
          <w:b w:val="0"/>
          <w:sz w:val="23"/>
          <w:szCs w:val="23"/>
        </w:rPr>
        <w:tab/>
        <w:t>:</w:t>
      </w:r>
      <w:r w:rsidRPr="00C959B3">
        <w:rPr>
          <w:rFonts w:cs="Courier New"/>
          <w:b w:val="0"/>
          <w:sz w:val="23"/>
          <w:szCs w:val="23"/>
        </w:rPr>
        <w:tab/>
        <w:t xml:space="preserve">No. </w:t>
      </w:r>
      <w:r w:rsidRPr="00C959B3">
        <w:rPr>
          <w:rFonts w:cs="Courier New"/>
          <w:b w:val="0"/>
          <w:noProof/>
          <w:sz w:val="23"/>
          <w:szCs w:val="23"/>
        </w:rPr>
        <w:t>11-2729</w:t>
      </w:r>
    </w:p>
    <w:p w:rsidR="00394354" w:rsidRPr="00C959B3" w:rsidRDefault="00394354" w:rsidP="00394354">
      <w:pPr>
        <w:pStyle w:val="BodyText2"/>
        <w:tabs>
          <w:tab w:val="clear" w:pos="0"/>
          <w:tab w:val="clear" w:pos="720"/>
          <w:tab w:val="clear" w:pos="216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60"/>
        </w:tabs>
        <w:spacing w:line="240" w:lineRule="auto"/>
        <w:ind w:left="0"/>
        <w:rPr>
          <w:rFonts w:cs="Courier New"/>
          <w:b w:val="0"/>
          <w:noProof/>
          <w:sz w:val="23"/>
          <w:szCs w:val="23"/>
        </w:rPr>
      </w:pPr>
      <w:r w:rsidRPr="00C959B3">
        <w:rPr>
          <w:rFonts w:cs="Courier New"/>
          <w:b w:val="0"/>
          <w:noProof/>
          <w:sz w:val="23"/>
          <w:szCs w:val="23"/>
        </w:rPr>
        <w:tab/>
      </w:r>
      <w:r w:rsidRPr="00C959B3">
        <w:rPr>
          <w:rFonts w:cs="Courier New"/>
          <w:b w:val="0"/>
          <w:noProof/>
          <w:sz w:val="23"/>
          <w:szCs w:val="23"/>
        </w:rPr>
        <w:tab/>
        <w:t>:</w:t>
      </w:r>
    </w:p>
    <w:p w:rsidR="00394354" w:rsidRPr="00C959B3" w:rsidRDefault="00394354" w:rsidP="00394354">
      <w:pPr>
        <w:pStyle w:val="BodyText2"/>
        <w:tabs>
          <w:tab w:val="clear" w:pos="0"/>
          <w:tab w:val="clear" w:pos="720"/>
          <w:tab w:val="clear" w:pos="216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60"/>
        </w:tabs>
        <w:spacing w:line="240" w:lineRule="auto"/>
        <w:ind w:left="0"/>
        <w:rPr>
          <w:rFonts w:cs="Courier New"/>
          <w:b w:val="0"/>
          <w:noProof/>
          <w:sz w:val="23"/>
          <w:szCs w:val="23"/>
        </w:rPr>
      </w:pPr>
      <w:r w:rsidRPr="00C959B3">
        <w:rPr>
          <w:rFonts w:cs="Courier New"/>
          <w:b w:val="0"/>
          <w:noProof/>
          <w:sz w:val="23"/>
          <w:szCs w:val="23"/>
        </w:rPr>
        <w:t>DAVID K. QUINN,</w:t>
      </w:r>
      <w:r w:rsidRPr="00C959B3">
        <w:rPr>
          <w:rFonts w:cs="Courier New"/>
          <w:b w:val="0"/>
          <w:noProof/>
          <w:sz w:val="23"/>
          <w:szCs w:val="23"/>
        </w:rPr>
        <w:tab/>
        <w:t>:</w:t>
      </w:r>
    </w:p>
    <w:p w:rsidR="00394354" w:rsidRPr="00C959B3" w:rsidRDefault="00394354" w:rsidP="00394354">
      <w:pPr>
        <w:pStyle w:val="BodyText2"/>
        <w:tabs>
          <w:tab w:val="clear" w:pos="0"/>
          <w:tab w:val="clear" w:pos="720"/>
          <w:tab w:val="clear" w:pos="216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60"/>
        </w:tabs>
        <w:spacing w:line="240" w:lineRule="auto"/>
        <w:ind w:left="0"/>
        <w:rPr>
          <w:rFonts w:cs="Courier New"/>
          <w:b w:val="0"/>
          <w:noProof/>
          <w:sz w:val="23"/>
          <w:szCs w:val="23"/>
        </w:rPr>
      </w:pPr>
      <w:r w:rsidRPr="00C959B3">
        <w:rPr>
          <w:rFonts w:cs="Courier New"/>
          <w:b w:val="0"/>
          <w:noProof/>
          <w:sz w:val="23"/>
          <w:szCs w:val="23"/>
        </w:rPr>
        <w:tab/>
      </w:r>
      <w:r w:rsidRPr="00C959B3">
        <w:rPr>
          <w:rFonts w:cs="Courier New"/>
          <w:b w:val="0"/>
          <w:noProof/>
          <w:sz w:val="23"/>
          <w:szCs w:val="23"/>
        </w:rPr>
        <w:tab/>
        <w:t>:</w:t>
      </w:r>
    </w:p>
    <w:p w:rsidR="00394354" w:rsidRPr="00C959B3" w:rsidRDefault="00394354" w:rsidP="00394354">
      <w:pPr>
        <w:pStyle w:val="BodyText2"/>
        <w:tabs>
          <w:tab w:val="clear" w:pos="0"/>
          <w:tab w:val="clear" w:pos="720"/>
          <w:tab w:val="clear" w:pos="216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60"/>
        </w:tabs>
        <w:spacing w:line="240" w:lineRule="auto"/>
        <w:ind w:left="0"/>
        <w:rPr>
          <w:rFonts w:cs="Courier New"/>
          <w:b w:val="0"/>
          <w:bCs/>
          <w:sz w:val="23"/>
          <w:szCs w:val="23"/>
        </w:rPr>
      </w:pPr>
      <w:r w:rsidRPr="00C959B3">
        <w:rPr>
          <w:rFonts w:cs="Courier New"/>
          <w:b w:val="0"/>
          <w:noProof/>
          <w:sz w:val="23"/>
          <w:szCs w:val="23"/>
        </w:rPr>
        <w:tab/>
      </w:r>
      <w:r w:rsidRPr="00C959B3">
        <w:rPr>
          <w:rFonts w:cs="Courier New"/>
          <w:b w:val="0"/>
          <w:bCs/>
          <w:sz w:val="23"/>
          <w:szCs w:val="23"/>
        </w:rPr>
        <w:t>Defendant</w:t>
      </w:r>
      <w:r w:rsidRPr="00C959B3">
        <w:rPr>
          <w:rFonts w:cs="Courier New"/>
          <w:b w:val="0"/>
          <w:bCs/>
          <w:sz w:val="23"/>
          <w:szCs w:val="23"/>
        </w:rPr>
        <w:tab/>
        <w:t>:</w:t>
      </w:r>
    </w:p>
    <w:p w:rsidR="00394354" w:rsidRPr="00C959B3" w:rsidRDefault="00394354" w:rsidP="00394354">
      <w:pPr>
        <w:ind w:firstLine="1440"/>
        <w:rPr>
          <w:rFonts w:cs="Courier New"/>
          <w:b w:val="0"/>
          <w:bCs/>
          <w:sz w:val="23"/>
          <w:szCs w:val="23"/>
        </w:rPr>
      </w:pPr>
    </w:p>
    <w:p w:rsidR="00394354" w:rsidRPr="00C959B3" w:rsidRDefault="00A57DC0" w:rsidP="00394354">
      <w:pPr>
        <w:tabs>
          <w:tab w:val="left" w:pos="4674"/>
        </w:tabs>
        <w:ind w:right="-273"/>
        <w:rPr>
          <w:rFonts w:cs="Courier New"/>
          <w:b w:val="0"/>
          <w:bCs/>
          <w:sz w:val="23"/>
          <w:szCs w:val="23"/>
        </w:rPr>
      </w:pPr>
      <w:r w:rsidRPr="00C959B3">
        <w:rPr>
          <w:rFonts w:cs="Courier New"/>
          <w:b w:val="0"/>
          <w:bCs/>
          <w:sz w:val="23"/>
          <w:szCs w:val="23"/>
        </w:rPr>
        <w:t xml:space="preserve">Michael F. </w:t>
      </w:r>
      <w:proofErr w:type="spellStart"/>
      <w:r w:rsidRPr="00C959B3">
        <w:rPr>
          <w:rFonts w:cs="Courier New"/>
          <w:b w:val="0"/>
          <w:bCs/>
          <w:sz w:val="23"/>
          <w:szCs w:val="23"/>
        </w:rPr>
        <w:t>Ratchford</w:t>
      </w:r>
      <w:proofErr w:type="spellEnd"/>
      <w:r w:rsidR="00394354" w:rsidRPr="00C959B3">
        <w:rPr>
          <w:rFonts w:cs="Courier New"/>
          <w:b w:val="0"/>
          <w:bCs/>
          <w:sz w:val="23"/>
          <w:szCs w:val="23"/>
        </w:rPr>
        <w:t>, Esquire</w:t>
      </w:r>
      <w:r w:rsidR="00394354" w:rsidRPr="00C959B3">
        <w:rPr>
          <w:rFonts w:cs="Courier New"/>
          <w:b w:val="0"/>
          <w:bCs/>
          <w:sz w:val="23"/>
          <w:szCs w:val="23"/>
        </w:rPr>
        <w:tab/>
      </w:r>
      <w:r w:rsidR="00394354" w:rsidRPr="00C959B3">
        <w:rPr>
          <w:rFonts w:cs="Courier New"/>
          <w:b w:val="0"/>
          <w:bCs/>
          <w:sz w:val="23"/>
          <w:szCs w:val="23"/>
        </w:rPr>
        <w:tab/>
        <w:t>Counsel for Plaintiff</w:t>
      </w:r>
    </w:p>
    <w:p w:rsidR="002D2CAB" w:rsidRPr="00C959B3" w:rsidRDefault="002D2CAB" w:rsidP="00394354">
      <w:pPr>
        <w:tabs>
          <w:tab w:val="left" w:pos="4674"/>
        </w:tabs>
        <w:ind w:right="-273"/>
        <w:rPr>
          <w:rFonts w:cs="Courier New"/>
          <w:b w:val="0"/>
          <w:bCs/>
          <w:sz w:val="23"/>
          <w:szCs w:val="23"/>
        </w:rPr>
      </w:pPr>
      <w:r w:rsidRPr="00C959B3">
        <w:rPr>
          <w:rFonts w:cs="Courier New"/>
          <w:b w:val="0"/>
          <w:bCs/>
          <w:sz w:val="23"/>
          <w:szCs w:val="23"/>
        </w:rPr>
        <w:t>Anthony Roberti, Esquire</w:t>
      </w:r>
      <w:r w:rsidRPr="00C959B3">
        <w:rPr>
          <w:rFonts w:cs="Courier New"/>
          <w:b w:val="0"/>
          <w:bCs/>
          <w:sz w:val="23"/>
          <w:szCs w:val="23"/>
        </w:rPr>
        <w:tab/>
      </w:r>
      <w:r w:rsidRPr="00C959B3">
        <w:rPr>
          <w:rFonts w:cs="Courier New"/>
          <w:b w:val="0"/>
          <w:bCs/>
          <w:sz w:val="23"/>
          <w:szCs w:val="23"/>
        </w:rPr>
        <w:tab/>
        <w:t xml:space="preserve">Counsel for Plaintiff </w:t>
      </w:r>
    </w:p>
    <w:p w:rsidR="00394354" w:rsidRPr="00C959B3" w:rsidRDefault="00A57DC0" w:rsidP="00394354">
      <w:pPr>
        <w:tabs>
          <w:tab w:val="left" w:pos="4674"/>
        </w:tabs>
        <w:ind w:right="-273"/>
        <w:rPr>
          <w:rFonts w:cs="Courier New"/>
          <w:b w:val="0"/>
          <w:bCs/>
          <w:sz w:val="23"/>
          <w:szCs w:val="23"/>
        </w:rPr>
      </w:pPr>
      <w:r w:rsidRPr="00C959B3">
        <w:rPr>
          <w:rFonts w:cs="Courier New"/>
          <w:b w:val="0"/>
          <w:bCs/>
          <w:sz w:val="23"/>
          <w:szCs w:val="23"/>
        </w:rPr>
        <w:t>David K. Quinn</w:t>
      </w:r>
      <w:r w:rsidR="00394354" w:rsidRPr="00C959B3">
        <w:rPr>
          <w:rFonts w:cs="Courier New"/>
          <w:b w:val="0"/>
          <w:bCs/>
          <w:sz w:val="23"/>
          <w:szCs w:val="23"/>
        </w:rPr>
        <w:tab/>
      </w:r>
      <w:r w:rsidR="00394354" w:rsidRPr="00C959B3">
        <w:rPr>
          <w:rFonts w:cs="Courier New"/>
          <w:b w:val="0"/>
          <w:bCs/>
          <w:sz w:val="23"/>
          <w:szCs w:val="23"/>
        </w:rPr>
        <w:tab/>
        <w:t>Unrepresented</w:t>
      </w:r>
    </w:p>
    <w:p w:rsidR="00394354" w:rsidRPr="007A0047" w:rsidRDefault="00394354" w:rsidP="00394354">
      <w:pPr>
        <w:rPr>
          <w:rFonts w:ascii="Times New Roman" w:hAnsi="Times New Roman" w:cs="Times New Roman"/>
          <w:sz w:val="23"/>
          <w:szCs w:val="23"/>
          <w:u w:val="single"/>
        </w:rPr>
      </w:pPr>
    </w:p>
    <w:p w:rsidR="00394354" w:rsidRPr="007A0047" w:rsidRDefault="00394354" w:rsidP="00394354">
      <w:pPr>
        <w:rPr>
          <w:rFonts w:ascii="Times New Roman" w:hAnsi="Times New Roman" w:cs="Times New Roman"/>
          <w:sz w:val="23"/>
          <w:szCs w:val="23"/>
        </w:rPr>
      </w:pPr>
    </w:p>
    <w:p w:rsidR="00394354" w:rsidRPr="00C959B3" w:rsidRDefault="00394354" w:rsidP="00394354">
      <w:pPr>
        <w:pStyle w:val="Heading2"/>
        <w:spacing w:line="480" w:lineRule="auto"/>
        <w:rPr>
          <w:bCs w:val="0"/>
        </w:rPr>
      </w:pPr>
      <w:r w:rsidRPr="00C959B3">
        <w:rPr>
          <w:bCs w:val="0"/>
        </w:rPr>
        <w:t>MEMORANDUM OPINION</w:t>
      </w:r>
    </w:p>
    <w:p w:rsidR="00394354" w:rsidRPr="00C959B3" w:rsidRDefault="00394354" w:rsidP="00394354">
      <w:pPr>
        <w:pStyle w:val="BodyText"/>
        <w:widowControl w:val="0"/>
        <w:spacing w:line="480" w:lineRule="auto"/>
        <w:rPr>
          <w:rFonts w:cs="Courier New"/>
          <w:b w:val="0"/>
        </w:rPr>
      </w:pPr>
      <w:r w:rsidRPr="00C959B3">
        <w:rPr>
          <w:rFonts w:cs="Courier New"/>
          <w:b w:val="0"/>
        </w:rPr>
        <w:t xml:space="preserve">Matika, J. – </w:t>
      </w:r>
      <w:r w:rsidR="00B96E37">
        <w:rPr>
          <w:rFonts w:cs="Courier New"/>
          <w:b w:val="0"/>
        </w:rPr>
        <w:t>April</w:t>
      </w:r>
      <w:r w:rsidRPr="00C959B3">
        <w:rPr>
          <w:rFonts w:cs="Courier New"/>
          <w:b w:val="0"/>
        </w:rPr>
        <w:t xml:space="preserve">  </w:t>
      </w:r>
      <w:r w:rsidR="002D2CAB" w:rsidRPr="00C959B3">
        <w:rPr>
          <w:rFonts w:cs="Courier New"/>
          <w:b w:val="0"/>
        </w:rPr>
        <w:t xml:space="preserve">   </w:t>
      </w:r>
      <w:r w:rsidRPr="00C959B3">
        <w:rPr>
          <w:rFonts w:cs="Courier New"/>
          <w:b w:val="0"/>
        </w:rPr>
        <w:t>2012</w:t>
      </w:r>
    </w:p>
    <w:p w:rsidR="00DD4393" w:rsidRDefault="00D37E7E" w:rsidP="00DD4393">
      <w:pPr>
        <w:spacing w:line="480" w:lineRule="auto"/>
        <w:ind w:firstLine="720"/>
        <w:rPr>
          <w:rFonts w:cs="Courier New"/>
          <w:b w:val="0"/>
          <w:sz w:val="23"/>
          <w:szCs w:val="23"/>
        </w:rPr>
      </w:pPr>
      <w:r w:rsidRPr="00C959B3">
        <w:rPr>
          <w:rFonts w:cs="Courier New"/>
          <w:b w:val="0"/>
          <w:sz w:val="23"/>
          <w:szCs w:val="23"/>
        </w:rPr>
        <w:t xml:space="preserve">Before the Court </w:t>
      </w:r>
      <w:r w:rsidR="009A582F">
        <w:rPr>
          <w:rFonts w:cs="Courier New"/>
          <w:b w:val="0"/>
          <w:sz w:val="23"/>
          <w:szCs w:val="23"/>
        </w:rPr>
        <w:t>are</w:t>
      </w:r>
      <w:r w:rsidRPr="00C959B3">
        <w:rPr>
          <w:rFonts w:cs="Courier New"/>
          <w:b w:val="0"/>
          <w:sz w:val="23"/>
          <w:szCs w:val="23"/>
        </w:rPr>
        <w:t xml:space="preserve"> Defendant’s </w:t>
      </w:r>
      <w:r w:rsidR="00DD4393" w:rsidRPr="00C959B3">
        <w:rPr>
          <w:rFonts w:cs="Courier New"/>
          <w:b w:val="0"/>
          <w:sz w:val="23"/>
          <w:szCs w:val="23"/>
        </w:rPr>
        <w:t>Prelimi</w:t>
      </w:r>
      <w:r w:rsidR="00967425">
        <w:rPr>
          <w:rFonts w:cs="Courier New"/>
          <w:b w:val="0"/>
          <w:sz w:val="23"/>
          <w:szCs w:val="23"/>
        </w:rPr>
        <w:t>nary Objections to Plaintiff’s c</w:t>
      </w:r>
      <w:r w:rsidR="00DD4393" w:rsidRPr="00C959B3">
        <w:rPr>
          <w:rFonts w:cs="Courier New"/>
          <w:b w:val="0"/>
          <w:sz w:val="23"/>
          <w:szCs w:val="23"/>
        </w:rPr>
        <w:t>omplaint</w:t>
      </w:r>
      <w:r w:rsidR="000842D7">
        <w:rPr>
          <w:rFonts w:cs="Courier New"/>
          <w:b w:val="0"/>
          <w:sz w:val="23"/>
          <w:szCs w:val="23"/>
        </w:rPr>
        <w:t>.  These preliminary objections consist of</w:t>
      </w:r>
      <w:r w:rsidR="00DD4393" w:rsidRPr="00C959B3">
        <w:rPr>
          <w:rFonts w:cs="Courier New"/>
          <w:b w:val="0"/>
          <w:sz w:val="23"/>
          <w:szCs w:val="23"/>
        </w:rPr>
        <w:t xml:space="preserve"> a “Motion to Strike/Motion for a More Specific Pleading” and a “Demurrer” regarding</w:t>
      </w:r>
      <w:r w:rsidR="000842D7">
        <w:rPr>
          <w:rFonts w:cs="Courier New"/>
          <w:b w:val="0"/>
          <w:sz w:val="23"/>
          <w:szCs w:val="23"/>
        </w:rPr>
        <w:t xml:space="preserve"> allegations that the defendant has defaulted on his</w:t>
      </w:r>
      <w:r w:rsidR="00DD4393" w:rsidRPr="00C959B3">
        <w:rPr>
          <w:rFonts w:cs="Courier New"/>
          <w:b w:val="0"/>
          <w:sz w:val="23"/>
          <w:szCs w:val="23"/>
        </w:rPr>
        <w:t xml:space="preserve"> credit card</w:t>
      </w:r>
      <w:r w:rsidR="00B96E37">
        <w:rPr>
          <w:rFonts w:cs="Courier New"/>
          <w:b w:val="0"/>
          <w:sz w:val="23"/>
          <w:szCs w:val="23"/>
        </w:rPr>
        <w:t xml:space="preserve"> payment</w:t>
      </w:r>
      <w:r w:rsidR="000842D7">
        <w:rPr>
          <w:rFonts w:cs="Courier New"/>
          <w:b w:val="0"/>
          <w:sz w:val="23"/>
          <w:szCs w:val="23"/>
        </w:rPr>
        <w:t xml:space="preserve"> obligations on a credit card issued by the Plaintiff.</w:t>
      </w:r>
      <w:r w:rsidR="00DD4393" w:rsidRPr="00C959B3">
        <w:rPr>
          <w:rFonts w:cs="Courier New"/>
          <w:b w:val="0"/>
          <w:sz w:val="23"/>
          <w:szCs w:val="23"/>
        </w:rPr>
        <w:t xml:space="preserve"> </w:t>
      </w:r>
      <w:r w:rsidR="000842D7">
        <w:rPr>
          <w:rFonts w:cs="Courier New"/>
          <w:b w:val="0"/>
          <w:sz w:val="23"/>
          <w:szCs w:val="23"/>
        </w:rPr>
        <w:t xml:space="preserve"> </w:t>
      </w:r>
      <w:r w:rsidR="00DD4393" w:rsidRPr="00C959B3">
        <w:rPr>
          <w:rFonts w:cs="Courier New"/>
          <w:b w:val="0"/>
          <w:sz w:val="23"/>
          <w:szCs w:val="23"/>
        </w:rPr>
        <w:t>For the re</w:t>
      </w:r>
      <w:r w:rsidR="002371ED">
        <w:rPr>
          <w:rFonts w:cs="Courier New"/>
          <w:b w:val="0"/>
          <w:sz w:val="23"/>
          <w:szCs w:val="23"/>
        </w:rPr>
        <w:t xml:space="preserve">asons that follow, </w:t>
      </w:r>
      <w:r w:rsidR="005B7060">
        <w:rPr>
          <w:rFonts w:cs="Courier New"/>
          <w:b w:val="0"/>
          <w:sz w:val="23"/>
          <w:szCs w:val="23"/>
        </w:rPr>
        <w:t>Defendant’s</w:t>
      </w:r>
      <w:r w:rsidR="002371ED">
        <w:rPr>
          <w:rFonts w:cs="Courier New"/>
          <w:b w:val="0"/>
          <w:sz w:val="23"/>
          <w:szCs w:val="23"/>
        </w:rPr>
        <w:t xml:space="preserve"> preliminary o</w:t>
      </w:r>
      <w:r w:rsidR="00DD4393" w:rsidRPr="00C959B3">
        <w:rPr>
          <w:rFonts w:cs="Courier New"/>
          <w:b w:val="0"/>
          <w:sz w:val="23"/>
          <w:szCs w:val="23"/>
        </w:rPr>
        <w:t>bjections are GRANTED IN PART and DENIED IN PART.</w:t>
      </w:r>
    </w:p>
    <w:p w:rsidR="00B96E37" w:rsidRDefault="00B96E37" w:rsidP="00DD4393">
      <w:pPr>
        <w:spacing w:line="480" w:lineRule="auto"/>
        <w:ind w:firstLine="720"/>
        <w:rPr>
          <w:rFonts w:cs="Courier New"/>
          <w:b w:val="0"/>
          <w:sz w:val="23"/>
          <w:szCs w:val="23"/>
        </w:rPr>
      </w:pPr>
    </w:p>
    <w:p w:rsidR="005B7060" w:rsidRPr="005B7060" w:rsidRDefault="005B7060" w:rsidP="005B7060">
      <w:pPr>
        <w:pStyle w:val="BodyText"/>
        <w:widowControl w:val="0"/>
        <w:numPr>
          <w:ilvl w:val="0"/>
          <w:numId w:val="1"/>
        </w:numPr>
        <w:spacing w:after="0" w:line="480" w:lineRule="auto"/>
        <w:rPr>
          <w:rFonts w:ascii="Times New Roman" w:hAnsi="Times New Roman"/>
        </w:rPr>
      </w:pPr>
      <w:r w:rsidRPr="007F185B">
        <w:rPr>
          <w:rFonts w:ascii="Times New Roman" w:hAnsi="Times New Roman"/>
        </w:rPr>
        <w:t xml:space="preserve">FACTUAL and PROCEDURAL BACKGROUND </w:t>
      </w:r>
    </w:p>
    <w:p w:rsidR="00DD4393" w:rsidRPr="00C959B3" w:rsidRDefault="00B24FF6" w:rsidP="002371ED">
      <w:pPr>
        <w:spacing w:line="480" w:lineRule="auto"/>
        <w:ind w:firstLine="720"/>
        <w:rPr>
          <w:rFonts w:cs="Courier New"/>
          <w:b w:val="0"/>
          <w:sz w:val="23"/>
          <w:szCs w:val="23"/>
        </w:rPr>
      </w:pPr>
      <w:r w:rsidRPr="00C959B3">
        <w:rPr>
          <w:rFonts w:cs="Courier New"/>
          <w:b w:val="0"/>
          <w:sz w:val="23"/>
          <w:szCs w:val="23"/>
        </w:rPr>
        <w:t xml:space="preserve">Defendant, </w:t>
      </w:r>
      <w:r w:rsidR="00A57DC0" w:rsidRPr="00C959B3">
        <w:rPr>
          <w:rFonts w:cs="Courier New"/>
          <w:b w:val="0"/>
          <w:sz w:val="23"/>
          <w:szCs w:val="23"/>
        </w:rPr>
        <w:t xml:space="preserve">David K. Quinn, </w:t>
      </w:r>
      <w:r w:rsidR="00B96E37">
        <w:rPr>
          <w:rFonts w:cs="Courier New"/>
          <w:b w:val="0"/>
          <w:sz w:val="23"/>
          <w:szCs w:val="23"/>
        </w:rPr>
        <w:t xml:space="preserve">is alleged to have </w:t>
      </w:r>
      <w:r w:rsidR="00A57DC0" w:rsidRPr="00C959B3">
        <w:rPr>
          <w:rFonts w:cs="Courier New"/>
          <w:b w:val="0"/>
          <w:sz w:val="23"/>
          <w:szCs w:val="23"/>
        </w:rPr>
        <w:t>applied for and received a credit card issued by Pla</w:t>
      </w:r>
      <w:r w:rsidR="007B3A35" w:rsidRPr="00C959B3">
        <w:rPr>
          <w:rFonts w:cs="Courier New"/>
          <w:b w:val="0"/>
          <w:sz w:val="23"/>
          <w:szCs w:val="23"/>
        </w:rPr>
        <w:t xml:space="preserve">intiff, Capital One Bank (USA).  The terms and conditions for the use of the credit card </w:t>
      </w:r>
      <w:r w:rsidR="002371ED">
        <w:rPr>
          <w:rFonts w:cs="Courier New"/>
          <w:b w:val="0"/>
          <w:sz w:val="23"/>
          <w:szCs w:val="23"/>
        </w:rPr>
        <w:t>were</w:t>
      </w:r>
      <w:r w:rsidR="007B3A35" w:rsidRPr="00C959B3">
        <w:rPr>
          <w:rFonts w:cs="Courier New"/>
          <w:b w:val="0"/>
          <w:sz w:val="23"/>
          <w:szCs w:val="23"/>
        </w:rPr>
        <w:t xml:space="preserve"> </w:t>
      </w:r>
      <w:r w:rsidR="00AE74FF">
        <w:rPr>
          <w:rFonts w:cs="Courier New"/>
          <w:b w:val="0"/>
          <w:sz w:val="23"/>
          <w:szCs w:val="23"/>
        </w:rPr>
        <w:t>stated in a</w:t>
      </w:r>
      <w:r w:rsidR="007B3A35" w:rsidRPr="00C959B3">
        <w:rPr>
          <w:rFonts w:cs="Courier New"/>
          <w:b w:val="0"/>
          <w:sz w:val="23"/>
          <w:szCs w:val="23"/>
        </w:rPr>
        <w:t xml:space="preserve"> Card</w:t>
      </w:r>
      <w:r w:rsidR="00595B75" w:rsidRPr="00C959B3">
        <w:rPr>
          <w:rFonts w:cs="Courier New"/>
          <w:b w:val="0"/>
          <w:sz w:val="23"/>
          <w:szCs w:val="23"/>
        </w:rPr>
        <w:t xml:space="preserve"> M</w:t>
      </w:r>
      <w:r w:rsidR="007B3A35" w:rsidRPr="00C959B3">
        <w:rPr>
          <w:rFonts w:cs="Courier New"/>
          <w:b w:val="0"/>
          <w:sz w:val="23"/>
          <w:szCs w:val="23"/>
        </w:rPr>
        <w:t xml:space="preserve">ember Agreement that </w:t>
      </w:r>
      <w:r w:rsidR="00AE74FF">
        <w:rPr>
          <w:rFonts w:cs="Courier New"/>
          <w:b w:val="0"/>
          <w:sz w:val="23"/>
          <w:szCs w:val="23"/>
        </w:rPr>
        <w:t xml:space="preserve">Plaintiff attached to the </w:t>
      </w:r>
      <w:r w:rsidR="00AE74FF">
        <w:rPr>
          <w:rFonts w:cs="Courier New"/>
          <w:b w:val="0"/>
          <w:sz w:val="23"/>
          <w:szCs w:val="23"/>
        </w:rPr>
        <w:lastRenderedPageBreak/>
        <w:t>complaint, which was purportedly sent to Plaintiff along with</w:t>
      </w:r>
      <w:r w:rsidR="005B7060">
        <w:rPr>
          <w:rFonts w:cs="Courier New"/>
          <w:b w:val="0"/>
          <w:sz w:val="23"/>
          <w:szCs w:val="23"/>
        </w:rPr>
        <w:t xml:space="preserve"> </w:t>
      </w:r>
      <w:r w:rsidR="007B3A35" w:rsidRPr="00C959B3">
        <w:rPr>
          <w:rFonts w:cs="Courier New"/>
          <w:b w:val="0"/>
          <w:sz w:val="23"/>
          <w:szCs w:val="23"/>
        </w:rPr>
        <w:t>the credit card.</w:t>
      </w:r>
      <w:r w:rsidR="00AE74FF">
        <w:rPr>
          <w:rStyle w:val="FootnoteReference"/>
          <w:rFonts w:cs="Courier New"/>
          <w:b w:val="0"/>
          <w:sz w:val="23"/>
          <w:szCs w:val="23"/>
        </w:rPr>
        <w:footnoteReference w:id="1"/>
      </w:r>
      <w:r w:rsidR="002371ED">
        <w:rPr>
          <w:rFonts w:cs="Courier New"/>
          <w:b w:val="0"/>
          <w:sz w:val="23"/>
          <w:szCs w:val="23"/>
        </w:rPr>
        <w:t xml:space="preserve">  Defendant</w:t>
      </w:r>
      <w:r w:rsidR="005B7060">
        <w:rPr>
          <w:rFonts w:cs="Courier New"/>
          <w:b w:val="0"/>
          <w:sz w:val="23"/>
          <w:szCs w:val="23"/>
        </w:rPr>
        <w:t xml:space="preserve"> is alleged to have</w:t>
      </w:r>
      <w:r w:rsidR="002371ED">
        <w:rPr>
          <w:rFonts w:cs="Courier New"/>
          <w:b w:val="0"/>
          <w:sz w:val="23"/>
          <w:szCs w:val="23"/>
        </w:rPr>
        <w:t xml:space="preserve"> default</w:t>
      </w:r>
      <w:r w:rsidR="00967425">
        <w:rPr>
          <w:rFonts w:cs="Courier New"/>
          <w:b w:val="0"/>
          <w:sz w:val="23"/>
          <w:szCs w:val="23"/>
        </w:rPr>
        <w:t>ed</w:t>
      </w:r>
      <w:r w:rsidR="002371ED">
        <w:rPr>
          <w:rFonts w:cs="Courier New"/>
          <w:b w:val="0"/>
          <w:sz w:val="23"/>
          <w:szCs w:val="23"/>
        </w:rPr>
        <w:t xml:space="preserve"> on this account by </w:t>
      </w:r>
      <w:r w:rsidR="00967425">
        <w:rPr>
          <w:rFonts w:cs="Courier New"/>
          <w:b w:val="0"/>
          <w:sz w:val="23"/>
          <w:szCs w:val="23"/>
        </w:rPr>
        <w:t>not making his monthly payments and thus</w:t>
      </w:r>
      <w:r w:rsidR="002371ED">
        <w:rPr>
          <w:rFonts w:cs="Courier New"/>
          <w:b w:val="0"/>
          <w:sz w:val="23"/>
          <w:szCs w:val="23"/>
        </w:rPr>
        <w:t xml:space="preserve"> Plaintiff instituted this action </w:t>
      </w:r>
      <w:r w:rsidR="007B3A35" w:rsidRPr="00C959B3">
        <w:rPr>
          <w:rFonts w:cs="Courier New"/>
          <w:b w:val="0"/>
          <w:sz w:val="23"/>
          <w:szCs w:val="23"/>
        </w:rPr>
        <w:t xml:space="preserve">to recover the unpaid balance on the account.  The only document </w:t>
      </w:r>
      <w:r w:rsidR="00967425">
        <w:rPr>
          <w:rFonts w:cs="Courier New"/>
          <w:b w:val="0"/>
          <w:sz w:val="23"/>
          <w:szCs w:val="23"/>
        </w:rPr>
        <w:t xml:space="preserve">Plaintiff </w:t>
      </w:r>
      <w:r w:rsidR="007B3A35" w:rsidRPr="00C959B3">
        <w:rPr>
          <w:rFonts w:cs="Courier New"/>
          <w:b w:val="0"/>
          <w:sz w:val="23"/>
          <w:szCs w:val="23"/>
        </w:rPr>
        <w:t xml:space="preserve">attached to </w:t>
      </w:r>
      <w:r w:rsidR="00967425">
        <w:rPr>
          <w:rFonts w:cs="Courier New"/>
          <w:b w:val="0"/>
          <w:sz w:val="23"/>
          <w:szCs w:val="23"/>
        </w:rPr>
        <w:t>the c</w:t>
      </w:r>
      <w:r w:rsidR="007B3A35" w:rsidRPr="00C959B3">
        <w:rPr>
          <w:rFonts w:cs="Courier New"/>
          <w:b w:val="0"/>
          <w:sz w:val="23"/>
          <w:szCs w:val="23"/>
        </w:rPr>
        <w:t>omplaint</w:t>
      </w:r>
      <w:r w:rsidR="006204A9">
        <w:rPr>
          <w:rFonts w:cs="Courier New"/>
          <w:b w:val="0"/>
          <w:sz w:val="23"/>
          <w:szCs w:val="23"/>
        </w:rPr>
        <w:t xml:space="preserve"> in support of its claim is the aforementioned</w:t>
      </w:r>
      <w:r w:rsidR="007B3A35" w:rsidRPr="00C959B3">
        <w:rPr>
          <w:rFonts w:cs="Courier New"/>
          <w:b w:val="0"/>
          <w:sz w:val="23"/>
          <w:szCs w:val="23"/>
        </w:rPr>
        <w:t xml:space="preserve"> Card</w:t>
      </w:r>
      <w:r w:rsidR="00595B75" w:rsidRPr="00C959B3">
        <w:rPr>
          <w:rFonts w:cs="Courier New"/>
          <w:b w:val="0"/>
          <w:sz w:val="23"/>
          <w:szCs w:val="23"/>
        </w:rPr>
        <w:t xml:space="preserve"> M</w:t>
      </w:r>
      <w:r w:rsidR="006204A9">
        <w:rPr>
          <w:rFonts w:cs="Courier New"/>
          <w:b w:val="0"/>
          <w:sz w:val="23"/>
          <w:szCs w:val="23"/>
        </w:rPr>
        <w:t>ember Agreement</w:t>
      </w:r>
      <w:r w:rsidR="005B7060">
        <w:rPr>
          <w:rFonts w:cs="Courier New"/>
          <w:b w:val="0"/>
          <w:sz w:val="23"/>
          <w:szCs w:val="23"/>
        </w:rPr>
        <w:t>.  There are no averments in the complaint</w:t>
      </w:r>
      <w:r w:rsidR="002371ED">
        <w:rPr>
          <w:rFonts w:cs="Courier New"/>
          <w:b w:val="0"/>
          <w:sz w:val="23"/>
          <w:szCs w:val="23"/>
        </w:rPr>
        <w:t xml:space="preserve"> </w:t>
      </w:r>
      <w:r w:rsidR="005B7060">
        <w:rPr>
          <w:rFonts w:cs="Courier New"/>
          <w:b w:val="0"/>
          <w:sz w:val="23"/>
          <w:szCs w:val="23"/>
        </w:rPr>
        <w:t>that</w:t>
      </w:r>
      <w:r w:rsidR="002371ED">
        <w:rPr>
          <w:rFonts w:cs="Courier New"/>
          <w:b w:val="0"/>
          <w:sz w:val="23"/>
          <w:szCs w:val="23"/>
        </w:rPr>
        <w:t xml:space="preserve"> </w:t>
      </w:r>
      <w:r w:rsidR="00967425">
        <w:rPr>
          <w:rFonts w:cs="Courier New"/>
          <w:b w:val="0"/>
          <w:sz w:val="23"/>
          <w:szCs w:val="23"/>
        </w:rPr>
        <w:t xml:space="preserve">the </w:t>
      </w:r>
      <w:r w:rsidR="005B7060">
        <w:rPr>
          <w:rFonts w:cs="Courier New"/>
          <w:b w:val="0"/>
          <w:sz w:val="23"/>
          <w:szCs w:val="23"/>
        </w:rPr>
        <w:t>attached Card Member A</w:t>
      </w:r>
      <w:r w:rsidR="002371ED">
        <w:rPr>
          <w:rFonts w:cs="Courier New"/>
          <w:b w:val="0"/>
          <w:sz w:val="23"/>
          <w:szCs w:val="23"/>
        </w:rPr>
        <w:t>greement is the original agreement between the two parties.</w:t>
      </w:r>
    </w:p>
    <w:p w:rsidR="00F613FA" w:rsidRDefault="002371ED" w:rsidP="00DD4393">
      <w:pPr>
        <w:spacing w:line="480" w:lineRule="auto"/>
        <w:ind w:firstLine="720"/>
        <w:rPr>
          <w:rFonts w:cs="Courier New"/>
          <w:b w:val="0"/>
          <w:sz w:val="23"/>
          <w:szCs w:val="23"/>
        </w:rPr>
      </w:pPr>
      <w:r>
        <w:rPr>
          <w:rFonts w:cs="Courier New"/>
          <w:b w:val="0"/>
          <w:sz w:val="23"/>
          <w:szCs w:val="23"/>
        </w:rPr>
        <w:t>In response</w:t>
      </w:r>
      <w:r w:rsidR="005B7060">
        <w:rPr>
          <w:rFonts w:cs="Courier New"/>
          <w:b w:val="0"/>
          <w:sz w:val="23"/>
          <w:szCs w:val="23"/>
        </w:rPr>
        <w:t xml:space="preserve"> to the complaint</w:t>
      </w:r>
      <w:r>
        <w:rPr>
          <w:rFonts w:cs="Courier New"/>
          <w:b w:val="0"/>
          <w:sz w:val="23"/>
          <w:szCs w:val="23"/>
        </w:rPr>
        <w:t>, Defendant filed</w:t>
      </w:r>
      <w:r w:rsidR="005B7060">
        <w:rPr>
          <w:rFonts w:cs="Courier New"/>
          <w:b w:val="0"/>
          <w:sz w:val="23"/>
          <w:szCs w:val="23"/>
        </w:rPr>
        <w:t xml:space="preserve"> three (3)</w:t>
      </w:r>
      <w:r>
        <w:rPr>
          <w:rFonts w:cs="Courier New"/>
          <w:b w:val="0"/>
          <w:sz w:val="23"/>
          <w:szCs w:val="23"/>
        </w:rPr>
        <w:t xml:space="preserve"> preliminary objections </w:t>
      </w:r>
      <w:r w:rsidR="00F613FA" w:rsidRPr="00C959B3">
        <w:rPr>
          <w:rFonts w:cs="Courier New"/>
          <w:b w:val="0"/>
          <w:sz w:val="23"/>
          <w:szCs w:val="23"/>
        </w:rPr>
        <w:t>a</w:t>
      </w:r>
      <w:r>
        <w:rPr>
          <w:rFonts w:cs="Courier New"/>
          <w:b w:val="0"/>
          <w:sz w:val="23"/>
          <w:szCs w:val="23"/>
        </w:rPr>
        <w:t xml:space="preserve">sking the Court to dismiss the complaint </w:t>
      </w:r>
      <w:r w:rsidR="00F613FA" w:rsidRPr="00C959B3">
        <w:rPr>
          <w:rFonts w:cs="Courier New"/>
          <w:b w:val="0"/>
          <w:sz w:val="23"/>
          <w:szCs w:val="23"/>
        </w:rPr>
        <w:t xml:space="preserve">or </w:t>
      </w:r>
      <w:r>
        <w:rPr>
          <w:rFonts w:cs="Courier New"/>
          <w:b w:val="0"/>
          <w:sz w:val="23"/>
          <w:szCs w:val="23"/>
        </w:rPr>
        <w:t>in the alternative, strike the c</w:t>
      </w:r>
      <w:r w:rsidR="00F613FA" w:rsidRPr="00C959B3">
        <w:rPr>
          <w:rFonts w:cs="Courier New"/>
          <w:b w:val="0"/>
          <w:sz w:val="23"/>
          <w:szCs w:val="23"/>
        </w:rPr>
        <w:t>omplaint</w:t>
      </w:r>
      <w:r w:rsidR="0075574A">
        <w:rPr>
          <w:rFonts w:cs="Courier New"/>
          <w:b w:val="0"/>
          <w:sz w:val="23"/>
          <w:szCs w:val="23"/>
        </w:rPr>
        <w:t>.</w:t>
      </w:r>
      <w:r w:rsidR="0075574A">
        <w:rPr>
          <w:rStyle w:val="FootnoteReference"/>
          <w:rFonts w:cs="Courier New"/>
          <w:b w:val="0"/>
          <w:sz w:val="23"/>
          <w:szCs w:val="23"/>
        </w:rPr>
        <w:footnoteReference w:id="2"/>
      </w:r>
      <w:r w:rsidR="0075574A">
        <w:rPr>
          <w:rFonts w:cs="Courier New"/>
          <w:b w:val="0"/>
          <w:sz w:val="23"/>
          <w:szCs w:val="23"/>
        </w:rPr>
        <w:t xml:space="preserve">  </w:t>
      </w:r>
      <w:r>
        <w:rPr>
          <w:rFonts w:cs="Courier New"/>
          <w:b w:val="0"/>
          <w:sz w:val="23"/>
          <w:szCs w:val="23"/>
        </w:rPr>
        <w:t>Defendant’s three preliminary o</w:t>
      </w:r>
      <w:r w:rsidR="00F613FA" w:rsidRPr="00C959B3">
        <w:rPr>
          <w:rFonts w:cs="Courier New"/>
          <w:b w:val="0"/>
          <w:sz w:val="23"/>
          <w:szCs w:val="23"/>
        </w:rPr>
        <w:t xml:space="preserve">bjections can be </w:t>
      </w:r>
      <w:r w:rsidR="0075574A">
        <w:rPr>
          <w:rFonts w:cs="Courier New"/>
          <w:b w:val="0"/>
          <w:sz w:val="23"/>
          <w:szCs w:val="23"/>
        </w:rPr>
        <w:t>combined</w:t>
      </w:r>
      <w:r w:rsidR="00F613FA" w:rsidRPr="00C959B3">
        <w:rPr>
          <w:rFonts w:cs="Courier New"/>
          <w:b w:val="0"/>
          <w:sz w:val="23"/>
          <w:szCs w:val="23"/>
        </w:rPr>
        <w:t xml:space="preserve"> into one concise</w:t>
      </w:r>
      <w:r>
        <w:rPr>
          <w:rFonts w:cs="Courier New"/>
          <w:b w:val="0"/>
          <w:sz w:val="23"/>
          <w:szCs w:val="23"/>
        </w:rPr>
        <w:t xml:space="preserve"> objection in that Plaintiff’s c</w:t>
      </w:r>
      <w:r w:rsidR="00F613FA" w:rsidRPr="00C959B3">
        <w:rPr>
          <w:rFonts w:cs="Courier New"/>
          <w:b w:val="0"/>
          <w:sz w:val="23"/>
          <w:szCs w:val="23"/>
        </w:rPr>
        <w:t>omplaint fails to conform to the requirements of a complaint</w:t>
      </w:r>
      <w:r w:rsidR="0075574A">
        <w:rPr>
          <w:rFonts w:cs="Courier New"/>
          <w:b w:val="0"/>
          <w:sz w:val="23"/>
          <w:szCs w:val="23"/>
        </w:rPr>
        <w:t xml:space="preserve"> as required</w:t>
      </w:r>
      <w:r w:rsidR="00F613FA" w:rsidRPr="00C959B3">
        <w:rPr>
          <w:rFonts w:cs="Courier New"/>
          <w:b w:val="0"/>
          <w:sz w:val="23"/>
          <w:szCs w:val="23"/>
        </w:rPr>
        <w:t xml:space="preserve"> by Rule 1019 of the Pennsylvania Rules of Civil Procedure.  </w:t>
      </w:r>
    </w:p>
    <w:p w:rsidR="00B96E37" w:rsidRPr="009730A7" w:rsidRDefault="00B96E37" w:rsidP="00DD4393">
      <w:pPr>
        <w:spacing w:line="480" w:lineRule="auto"/>
        <w:ind w:firstLine="720"/>
        <w:rPr>
          <w:rFonts w:cs="Courier New"/>
          <w:b w:val="0"/>
          <w:sz w:val="23"/>
          <w:szCs w:val="23"/>
        </w:rPr>
      </w:pPr>
    </w:p>
    <w:p w:rsidR="007B3A35" w:rsidRPr="009730A7" w:rsidRDefault="00F613FA" w:rsidP="0075574A">
      <w:pPr>
        <w:pStyle w:val="BodyText"/>
        <w:widowControl w:val="0"/>
        <w:numPr>
          <w:ilvl w:val="0"/>
          <w:numId w:val="1"/>
        </w:numPr>
        <w:spacing w:after="0" w:line="480" w:lineRule="auto"/>
        <w:rPr>
          <w:rFonts w:cs="Courier New"/>
        </w:rPr>
      </w:pPr>
      <w:r w:rsidRPr="009730A7">
        <w:rPr>
          <w:rFonts w:cs="Courier New"/>
          <w:b w:val="0"/>
          <w:sz w:val="23"/>
          <w:szCs w:val="23"/>
        </w:rPr>
        <w:t xml:space="preserve"> </w:t>
      </w:r>
      <w:r w:rsidR="0075574A" w:rsidRPr="009730A7">
        <w:rPr>
          <w:rFonts w:cs="Courier New"/>
        </w:rPr>
        <w:t>DISCUSSION</w:t>
      </w:r>
    </w:p>
    <w:p w:rsidR="00174F71" w:rsidRPr="00C959B3" w:rsidRDefault="00174F71" w:rsidP="00680863">
      <w:pPr>
        <w:spacing w:line="480" w:lineRule="auto"/>
        <w:ind w:firstLine="720"/>
        <w:rPr>
          <w:rFonts w:cs="Courier New"/>
          <w:b w:val="0"/>
          <w:sz w:val="23"/>
          <w:szCs w:val="23"/>
        </w:rPr>
      </w:pPr>
      <w:r w:rsidRPr="00C959B3">
        <w:rPr>
          <w:rFonts w:cs="Courier New"/>
          <w:b w:val="0"/>
          <w:sz w:val="23"/>
          <w:szCs w:val="23"/>
        </w:rPr>
        <w:t xml:space="preserve">The Pennsylvania Rules of Civil Procedure </w:t>
      </w:r>
      <w:r w:rsidR="00C0117C" w:rsidRPr="00C959B3">
        <w:rPr>
          <w:rFonts w:cs="Courier New"/>
          <w:b w:val="0"/>
          <w:sz w:val="23"/>
          <w:szCs w:val="23"/>
        </w:rPr>
        <w:t xml:space="preserve">provides general requirements of </w:t>
      </w:r>
      <w:r w:rsidR="00680863">
        <w:rPr>
          <w:rFonts w:cs="Courier New"/>
          <w:b w:val="0"/>
          <w:sz w:val="23"/>
          <w:szCs w:val="23"/>
        </w:rPr>
        <w:t xml:space="preserve">what a complaint must contain.  </w:t>
      </w:r>
      <w:r w:rsidR="00967425">
        <w:rPr>
          <w:rFonts w:cs="Courier New"/>
          <w:b w:val="0"/>
          <w:sz w:val="23"/>
          <w:szCs w:val="23"/>
        </w:rPr>
        <w:t>Rule 1019(a)</w:t>
      </w:r>
      <w:r w:rsidR="00C0117C" w:rsidRPr="00C959B3">
        <w:rPr>
          <w:rFonts w:cs="Courier New"/>
          <w:b w:val="0"/>
          <w:sz w:val="23"/>
          <w:szCs w:val="23"/>
        </w:rPr>
        <w:t xml:space="preserve"> </w:t>
      </w:r>
      <w:r w:rsidR="00680863">
        <w:rPr>
          <w:rFonts w:cs="Courier New"/>
          <w:b w:val="0"/>
          <w:sz w:val="23"/>
          <w:szCs w:val="23"/>
        </w:rPr>
        <w:t xml:space="preserve">states </w:t>
      </w:r>
      <w:r w:rsidR="00C0117C" w:rsidRPr="00C959B3">
        <w:rPr>
          <w:rFonts w:cs="Courier New"/>
          <w:b w:val="0"/>
          <w:sz w:val="23"/>
          <w:szCs w:val="23"/>
        </w:rPr>
        <w:lastRenderedPageBreak/>
        <w:t xml:space="preserve">a complaint must </w:t>
      </w:r>
      <w:r w:rsidR="0075574A">
        <w:rPr>
          <w:rFonts w:cs="Courier New"/>
          <w:b w:val="0"/>
          <w:sz w:val="23"/>
          <w:szCs w:val="23"/>
        </w:rPr>
        <w:t xml:space="preserve">be </w:t>
      </w:r>
      <w:r w:rsidR="00C0117C" w:rsidRPr="00C959B3">
        <w:rPr>
          <w:rFonts w:cs="Courier New"/>
          <w:b w:val="0"/>
          <w:sz w:val="23"/>
          <w:szCs w:val="23"/>
        </w:rPr>
        <w:t>comprise</w:t>
      </w:r>
      <w:r w:rsidR="0075574A">
        <w:rPr>
          <w:rFonts w:cs="Courier New"/>
          <w:b w:val="0"/>
          <w:sz w:val="23"/>
          <w:szCs w:val="23"/>
        </w:rPr>
        <w:t>d</w:t>
      </w:r>
      <w:r w:rsidR="00680863">
        <w:rPr>
          <w:rFonts w:cs="Courier New"/>
          <w:b w:val="0"/>
          <w:sz w:val="23"/>
          <w:szCs w:val="23"/>
        </w:rPr>
        <w:t xml:space="preserve"> of “material facts </w:t>
      </w:r>
      <w:r w:rsidR="00B96E37">
        <w:rPr>
          <w:rFonts w:cs="Courier New"/>
          <w:b w:val="0"/>
          <w:sz w:val="23"/>
          <w:szCs w:val="23"/>
        </w:rPr>
        <w:t>[upon]</w:t>
      </w:r>
      <w:r w:rsidR="00680863">
        <w:rPr>
          <w:rFonts w:cs="Courier New"/>
          <w:b w:val="0"/>
          <w:sz w:val="23"/>
          <w:szCs w:val="23"/>
        </w:rPr>
        <w:t xml:space="preserve"> which a cause of action or defense is based.”  </w:t>
      </w:r>
      <w:r w:rsidR="00C0117C" w:rsidRPr="00C959B3">
        <w:rPr>
          <w:rFonts w:cs="Courier New"/>
          <w:b w:val="0"/>
          <w:sz w:val="23"/>
          <w:szCs w:val="23"/>
        </w:rPr>
        <w:t>The courts have interpreted this rule to mean that a complaint needs to inform the defendant of the nature and extent of the plaintiff’s claim there</w:t>
      </w:r>
      <w:r w:rsidR="00B96E37">
        <w:rPr>
          <w:rFonts w:cs="Courier New"/>
          <w:b w:val="0"/>
          <w:sz w:val="23"/>
          <w:szCs w:val="23"/>
        </w:rPr>
        <w:t>by</w:t>
      </w:r>
      <w:r w:rsidR="00C0117C" w:rsidRPr="00C959B3">
        <w:rPr>
          <w:rFonts w:cs="Courier New"/>
          <w:b w:val="0"/>
          <w:sz w:val="23"/>
          <w:szCs w:val="23"/>
        </w:rPr>
        <w:t xml:space="preserve"> giving the defendant notice of what plaintiff intends to prove at trial and allowing the defendant to prepare accordingly to meet such proof with his own evidence.</w:t>
      </w:r>
      <w:r w:rsidR="004E289F" w:rsidRPr="00C959B3">
        <w:rPr>
          <w:rFonts w:cs="Courier New"/>
          <w:b w:val="0"/>
          <w:sz w:val="23"/>
          <w:szCs w:val="23"/>
        </w:rPr>
        <w:t xml:space="preserve">  </w:t>
      </w:r>
      <w:proofErr w:type="gramStart"/>
      <w:r w:rsidR="00592B53" w:rsidRPr="00C959B3">
        <w:rPr>
          <w:rFonts w:cs="Courier New"/>
          <w:b w:val="0"/>
          <w:i/>
          <w:sz w:val="23"/>
          <w:szCs w:val="23"/>
        </w:rPr>
        <w:t xml:space="preserve">Weiss v. </w:t>
      </w:r>
      <w:proofErr w:type="spellStart"/>
      <w:r w:rsidR="00592B53" w:rsidRPr="00C959B3">
        <w:rPr>
          <w:rFonts w:cs="Courier New"/>
          <w:b w:val="0"/>
          <w:i/>
          <w:sz w:val="23"/>
          <w:szCs w:val="23"/>
        </w:rPr>
        <w:t>Equibank</w:t>
      </w:r>
      <w:proofErr w:type="spellEnd"/>
      <w:r w:rsidR="00592B53" w:rsidRPr="00C959B3">
        <w:rPr>
          <w:rFonts w:cs="Courier New"/>
          <w:b w:val="0"/>
          <w:sz w:val="23"/>
          <w:szCs w:val="23"/>
        </w:rPr>
        <w:t>, 313 Pa. Super 446, 453, 460 A.2d 271 274-75 (1983).</w:t>
      </w:r>
      <w:proofErr w:type="gramEnd"/>
      <w:r w:rsidR="00592B53" w:rsidRPr="00C959B3">
        <w:rPr>
          <w:rFonts w:cs="Courier New"/>
          <w:b w:val="0"/>
          <w:sz w:val="23"/>
          <w:szCs w:val="23"/>
        </w:rPr>
        <w:t xml:space="preserve">  </w:t>
      </w:r>
      <w:r w:rsidR="004E289F" w:rsidRPr="00C959B3">
        <w:rPr>
          <w:rFonts w:cs="Courier New"/>
          <w:b w:val="0"/>
          <w:sz w:val="23"/>
          <w:szCs w:val="23"/>
        </w:rPr>
        <w:t xml:space="preserve">However, a plaintiff need not divulge the legal theory underlying his complaint.  </w:t>
      </w:r>
      <w:proofErr w:type="spellStart"/>
      <w:proofErr w:type="gramStart"/>
      <w:r w:rsidR="004E289F" w:rsidRPr="00C959B3">
        <w:rPr>
          <w:rFonts w:cs="Courier New"/>
          <w:b w:val="0"/>
          <w:i/>
          <w:sz w:val="23"/>
          <w:szCs w:val="23"/>
        </w:rPr>
        <w:t>DelConte</w:t>
      </w:r>
      <w:proofErr w:type="spellEnd"/>
      <w:r w:rsidR="004E289F" w:rsidRPr="00C959B3">
        <w:rPr>
          <w:rFonts w:cs="Courier New"/>
          <w:b w:val="0"/>
          <w:i/>
          <w:sz w:val="23"/>
          <w:szCs w:val="23"/>
        </w:rPr>
        <w:t xml:space="preserve"> v. </w:t>
      </w:r>
      <w:proofErr w:type="spellStart"/>
      <w:r w:rsidR="004E289F" w:rsidRPr="00C959B3">
        <w:rPr>
          <w:rFonts w:cs="Courier New"/>
          <w:b w:val="0"/>
          <w:i/>
          <w:sz w:val="23"/>
          <w:szCs w:val="23"/>
        </w:rPr>
        <w:t>Stefonick</w:t>
      </w:r>
      <w:proofErr w:type="spellEnd"/>
      <w:r w:rsidR="004E289F" w:rsidRPr="00C959B3">
        <w:rPr>
          <w:rFonts w:cs="Courier New"/>
          <w:b w:val="0"/>
          <w:i/>
          <w:sz w:val="23"/>
          <w:szCs w:val="23"/>
        </w:rPr>
        <w:t>,</w:t>
      </w:r>
      <w:r w:rsidR="004E289F" w:rsidRPr="00C959B3">
        <w:rPr>
          <w:rFonts w:cs="Courier New"/>
          <w:b w:val="0"/>
          <w:sz w:val="23"/>
          <w:szCs w:val="23"/>
        </w:rPr>
        <w:t xml:space="preserve"> 268 Pa.</w:t>
      </w:r>
      <w:r w:rsidR="00592B53" w:rsidRPr="00C959B3">
        <w:rPr>
          <w:rFonts w:cs="Courier New"/>
          <w:b w:val="0"/>
          <w:sz w:val="23"/>
          <w:szCs w:val="23"/>
        </w:rPr>
        <w:t xml:space="preserve"> </w:t>
      </w:r>
      <w:r w:rsidR="004E289F" w:rsidRPr="00C959B3">
        <w:rPr>
          <w:rFonts w:cs="Courier New"/>
          <w:b w:val="0"/>
          <w:sz w:val="23"/>
          <w:szCs w:val="23"/>
        </w:rPr>
        <w:t>Super.</w:t>
      </w:r>
      <w:proofErr w:type="gramEnd"/>
      <w:r w:rsidR="004E289F" w:rsidRPr="00C959B3">
        <w:rPr>
          <w:rFonts w:cs="Courier New"/>
          <w:b w:val="0"/>
          <w:sz w:val="23"/>
          <w:szCs w:val="23"/>
        </w:rPr>
        <w:t xml:space="preserve"> </w:t>
      </w:r>
      <w:proofErr w:type="gramStart"/>
      <w:r w:rsidR="004E289F" w:rsidRPr="00C959B3">
        <w:rPr>
          <w:rFonts w:cs="Courier New"/>
          <w:b w:val="0"/>
          <w:sz w:val="23"/>
          <w:szCs w:val="23"/>
        </w:rPr>
        <w:t>572 408 A.2d 1151 (1979).</w:t>
      </w:r>
      <w:proofErr w:type="gramEnd"/>
      <w:r w:rsidR="004E289F" w:rsidRPr="00C959B3">
        <w:rPr>
          <w:rFonts w:cs="Courier New"/>
          <w:b w:val="0"/>
          <w:sz w:val="23"/>
          <w:szCs w:val="23"/>
        </w:rPr>
        <w:t xml:space="preserve">   </w:t>
      </w:r>
      <w:r w:rsidR="00C0117C" w:rsidRPr="00C959B3">
        <w:rPr>
          <w:rFonts w:cs="Courier New"/>
          <w:b w:val="0"/>
          <w:sz w:val="23"/>
          <w:szCs w:val="23"/>
        </w:rPr>
        <w:t xml:space="preserve"> </w:t>
      </w:r>
    </w:p>
    <w:p w:rsidR="00483090" w:rsidRPr="00C959B3" w:rsidRDefault="00B90ACD" w:rsidP="00967425">
      <w:pPr>
        <w:spacing w:line="480" w:lineRule="auto"/>
        <w:ind w:firstLine="720"/>
        <w:rPr>
          <w:rFonts w:cs="Courier New"/>
          <w:b w:val="0"/>
          <w:sz w:val="23"/>
          <w:szCs w:val="23"/>
        </w:rPr>
      </w:pPr>
      <w:r w:rsidRPr="00C959B3">
        <w:rPr>
          <w:rFonts w:cs="Courier New"/>
          <w:b w:val="0"/>
          <w:sz w:val="23"/>
          <w:szCs w:val="23"/>
        </w:rPr>
        <w:t xml:space="preserve">In a credit card default case, the underlying agreement between the parties is one based on </w:t>
      </w:r>
      <w:r w:rsidR="00680863" w:rsidRPr="00C959B3">
        <w:rPr>
          <w:rFonts w:cs="Courier New"/>
          <w:b w:val="0"/>
          <w:sz w:val="23"/>
          <w:szCs w:val="23"/>
        </w:rPr>
        <w:t>writing</w:t>
      </w:r>
      <w:r w:rsidR="00680863">
        <w:rPr>
          <w:rFonts w:cs="Courier New"/>
          <w:b w:val="0"/>
          <w:sz w:val="23"/>
          <w:szCs w:val="23"/>
        </w:rPr>
        <w:t>s</w:t>
      </w:r>
      <w:r w:rsidRPr="00C959B3">
        <w:rPr>
          <w:rFonts w:cs="Courier New"/>
          <w:b w:val="0"/>
          <w:sz w:val="23"/>
          <w:szCs w:val="23"/>
        </w:rPr>
        <w:t xml:space="preserve">.  Under the Pennsylvania Rules of Civil Procedure, “[w]hen any claim . . . is based upon </w:t>
      </w:r>
      <w:proofErr w:type="gramStart"/>
      <w:r w:rsidRPr="00C959B3">
        <w:rPr>
          <w:rFonts w:cs="Courier New"/>
          <w:b w:val="0"/>
          <w:sz w:val="23"/>
          <w:szCs w:val="23"/>
        </w:rPr>
        <w:t>a writing</w:t>
      </w:r>
      <w:proofErr w:type="gramEnd"/>
      <w:r w:rsidRPr="00C959B3">
        <w:rPr>
          <w:rFonts w:cs="Courier New"/>
          <w:b w:val="0"/>
          <w:sz w:val="23"/>
          <w:szCs w:val="23"/>
        </w:rPr>
        <w:t xml:space="preserve">, the pleader shall attach a copy of the writing, but if the writing or copy is not accessible to the pleader, it is sufficient so to state together with the reason, and to set forth the substance in writing.”  </w:t>
      </w:r>
      <w:proofErr w:type="spellStart"/>
      <w:proofErr w:type="gramStart"/>
      <w:r w:rsidRPr="00C959B3">
        <w:rPr>
          <w:rFonts w:cs="Courier New"/>
          <w:b w:val="0"/>
          <w:sz w:val="23"/>
          <w:szCs w:val="23"/>
        </w:rPr>
        <w:t>Pa.R.C.P</w:t>
      </w:r>
      <w:proofErr w:type="spellEnd"/>
      <w:r w:rsidRPr="00C959B3">
        <w:rPr>
          <w:rFonts w:cs="Courier New"/>
          <w:b w:val="0"/>
          <w:sz w:val="23"/>
          <w:szCs w:val="23"/>
        </w:rPr>
        <w:t>. 1019(</w:t>
      </w:r>
      <w:proofErr w:type="spellStart"/>
      <w:r w:rsidRPr="00C959B3">
        <w:rPr>
          <w:rFonts w:cs="Courier New"/>
          <w:b w:val="0"/>
          <w:sz w:val="23"/>
          <w:szCs w:val="23"/>
        </w:rPr>
        <w:t>i</w:t>
      </w:r>
      <w:proofErr w:type="spellEnd"/>
      <w:r w:rsidRPr="00C959B3">
        <w:rPr>
          <w:rFonts w:cs="Courier New"/>
          <w:b w:val="0"/>
          <w:sz w:val="23"/>
          <w:szCs w:val="23"/>
        </w:rPr>
        <w:t>)</w:t>
      </w:r>
      <w:r w:rsidR="00AE47D2" w:rsidRPr="00C959B3">
        <w:rPr>
          <w:rFonts w:cs="Courier New"/>
          <w:b w:val="0"/>
          <w:sz w:val="23"/>
          <w:szCs w:val="23"/>
        </w:rPr>
        <w:t>.</w:t>
      </w:r>
      <w:proofErr w:type="gramEnd"/>
      <w:r w:rsidR="00680863">
        <w:rPr>
          <w:rFonts w:cs="Courier New"/>
          <w:b w:val="0"/>
          <w:sz w:val="23"/>
          <w:szCs w:val="23"/>
        </w:rPr>
        <w:t xml:space="preserve">  Therefore, in a credit card default case, the pleader must attach to the complaint the original </w:t>
      </w:r>
      <w:r w:rsidR="004C5B77">
        <w:rPr>
          <w:rFonts w:cs="Courier New"/>
          <w:b w:val="0"/>
          <w:sz w:val="23"/>
          <w:szCs w:val="23"/>
        </w:rPr>
        <w:t xml:space="preserve">card </w:t>
      </w:r>
      <w:r w:rsidR="006204A9">
        <w:rPr>
          <w:rFonts w:cs="Courier New"/>
          <w:b w:val="0"/>
          <w:sz w:val="23"/>
          <w:szCs w:val="23"/>
        </w:rPr>
        <w:t>member</w:t>
      </w:r>
      <w:r w:rsidR="004C5B77">
        <w:rPr>
          <w:rFonts w:cs="Courier New"/>
          <w:b w:val="0"/>
          <w:sz w:val="23"/>
          <w:szCs w:val="23"/>
        </w:rPr>
        <w:t xml:space="preserve"> agreement </w:t>
      </w:r>
      <w:r w:rsidR="00680863">
        <w:rPr>
          <w:rFonts w:cs="Courier New"/>
          <w:b w:val="0"/>
          <w:sz w:val="23"/>
          <w:szCs w:val="23"/>
        </w:rPr>
        <w:t xml:space="preserve">or state why the original </w:t>
      </w:r>
      <w:r w:rsidR="004C5B77">
        <w:rPr>
          <w:rFonts w:cs="Courier New"/>
          <w:b w:val="0"/>
          <w:sz w:val="23"/>
          <w:szCs w:val="23"/>
        </w:rPr>
        <w:t>agreement</w:t>
      </w:r>
      <w:r w:rsidR="00680863">
        <w:rPr>
          <w:rFonts w:cs="Courier New"/>
          <w:b w:val="0"/>
          <w:sz w:val="23"/>
          <w:szCs w:val="23"/>
        </w:rPr>
        <w:t xml:space="preserve"> is not accessible.  </w:t>
      </w:r>
      <w:r w:rsidR="00AE47D2" w:rsidRPr="00C959B3">
        <w:rPr>
          <w:rFonts w:cs="Courier New"/>
          <w:b w:val="0"/>
          <w:i/>
          <w:sz w:val="23"/>
          <w:szCs w:val="23"/>
        </w:rPr>
        <w:t xml:space="preserve">Atlantic Credit and Finance, Inc. v. </w:t>
      </w:r>
      <w:proofErr w:type="spellStart"/>
      <w:r w:rsidR="00AE47D2" w:rsidRPr="00C959B3">
        <w:rPr>
          <w:rFonts w:cs="Courier New"/>
          <w:b w:val="0"/>
          <w:i/>
          <w:sz w:val="23"/>
          <w:szCs w:val="23"/>
        </w:rPr>
        <w:t>Giuliana</w:t>
      </w:r>
      <w:proofErr w:type="spellEnd"/>
      <w:r w:rsidR="00AE47D2" w:rsidRPr="00C959B3">
        <w:rPr>
          <w:rFonts w:cs="Courier New"/>
          <w:b w:val="0"/>
          <w:sz w:val="23"/>
          <w:szCs w:val="23"/>
        </w:rPr>
        <w:t xml:space="preserve">, 2003 Pa. Super. </w:t>
      </w:r>
      <w:proofErr w:type="gramStart"/>
      <w:r w:rsidR="00AE47D2" w:rsidRPr="00C959B3">
        <w:rPr>
          <w:rFonts w:cs="Courier New"/>
          <w:b w:val="0"/>
          <w:sz w:val="23"/>
          <w:szCs w:val="23"/>
        </w:rPr>
        <w:t>259, 829 A.2d 340, 345 (2003).</w:t>
      </w:r>
      <w:proofErr w:type="gramEnd"/>
      <w:r w:rsidR="00D16C66" w:rsidRPr="00C959B3">
        <w:rPr>
          <w:rFonts w:cs="Courier New"/>
          <w:b w:val="0"/>
          <w:sz w:val="23"/>
          <w:szCs w:val="23"/>
        </w:rPr>
        <w:t xml:space="preserve">  A generic </w:t>
      </w:r>
      <w:r w:rsidR="004C5B77">
        <w:rPr>
          <w:rFonts w:cs="Courier New"/>
          <w:b w:val="0"/>
          <w:sz w:val="23"/>
          <w:szCs w:val="23"/>
        </w:rPr>
        <w:t xml:space="preserve">card </w:t>
      </w:r>
      <w:r w:rsidR="006204A9">
        <w:rPr>
          <w:rFonts w:cs="Courier New"/>
          <w:b w:val="0"/>
          <w:sz w:val="23"/>
          <w:szCs w:val="23"/>
        </w:rPr>
        <w:t>member</w:t>
      </w:r>
      <w:r w:rsidR="00680863">
        <w:rPr>
          <w:rFonts w:cs="Courier New"/>
          <w:b w:val="0"/>
          <w:sz w:val="23"/>
          <w:szCs w:val="23"/>
        </w:rPr>
        <w:t xml:space="preserve"> </w:t>
      </w:r>
      <w:r w:rsidR="004C5B77">
        <w:rPr>
          <w:rFonts w:cs="Courier New"/>
          <w:b w:val="0"/>
          <w:sz w:val="23"/>
          <w:szCs w:val="23"/>
        </w:rPr>
        <w:t>agreement</w:t>
      </w:r>
      <w:r w:rsidR="00D16C66" w:rsidRPr="00C959B3">
        <w:rPr>
          <w:rFonts w:cs="Courier New"/>
          <w:b w:val="0"/>
          <w:sz w:val="23"/>
          <w:szCs w:val="23"/>
        </w:rPr>
        <w:t xml:space="preserve"> that </w:t>
      </w:r>
      <w:r w:rsidR="00680863">
        <w:rPr>
          <w:rFonts w:cs="Courier New"/>
          <w:b w:val="0"/>
          <w:sz w:val="23"/>
          <w:szCs w:val="23"/>
        </w:rPr>
        <w:t>bears</w:t>
      </w:r>
      <w:r w:rsidR="00D16C66" w:rsidRPr="00C959B3">
        <w:rPr>
          <w:rFonts w:cs="Courier New"/>
          <w:b w:val="0"/>
          <w:sz w:val="23"/>
          <w:szCs w:val="23"/>
        </w:rPr>
        <w:t xml:space="preserve"> a copyright date of </w:t>
      </w:r>
      <w:r w:rsidR="00680863">
        <w:rPr>
          <w:rFonts w:cs="Courier New"/>
          <w:b w:val="0"/>
          <w:sz w:val="23"/>
          <w:szCs w:val="23"/>
        </w:rPr>
        <w:t>any year</w:t>
      </w:r>
      <w:r w:rsidR="00D16C66" w:rsidRPr="00C959B3">
        <w:rPr>
          <w:rFonts w:cs="Courier New"/>
          <w:b w:val="0"/>
          <w:sz w:val="23"/>
          <w:szCs w:val="23"/>
        </w:rPr>
        <w:t xml:space="preserve"> other than the year </w:t>
      </w:r>
      <w:r w:rsidR="00967425">
        <w:rPr>
          <w:rFonts w:cs="Courier New"/>
          <w:b w:val="0"/>
          <w:sz w:val="23"/>
          <w:szCs w:val="23"/>
        </w:rPr>
        <w:t>plaintiff</w:t>
      </w:r>
      <w:r w:rsidR="00D16C66" w:rsidRPr="00C959B3">
        <w:rPr>
          <w:rFonts w:cs="Courier New"/>
          <w:b w:val="0"/>
          <w:sz w:val="23"/>
          <w:szCs w:val="23"/>
        </w:rPr>
        <w:t xml:space="preserve"> and defendant entered into </w:t>
      </w:r>
      <w:r w:rsidR="00680863">
        <w:rPr>
          <w:rFonts w:cs="Courier New"/>
          <w:b w:val="0"/>
          <w:sz w:val="23"/>
          <w:szCs w:val="23"/>
        </w:rPr>
        <w:t>such</w:t>
      </w:r>
      <w:r w:rsidR="00D16C66" w:rsidRPr="00C959B3">
        <w:rPr>
          <w:rFonts w:cs="Courier New"/>
          <w:b w:val="0"/>
          <w:sz w:val="23"/>
          <w:szCs w:val="23"/>
        </w:rPr>
        <w:t xml:space="preserve"> agreement is deemed insufficient to meet the requireme</w:t>
      </w:r>
      <w:r w:rsidR="00967425">
        <w:rPr>
          <w:rFonts w:cs="Courier New"/>
          <w:b w:val="0"/>
          <w:sz w:val="23"/>
          <w:szCs w:val="23"/>
        </w:rPr>
        <w:t>nts set forth by Rule 1019(</w:t>
      </w:r>
      <w:proofErr w:type="spellStart"/>
      <w:r w:rsidR="00967425">
        <w:rPr>
          <w:rFonts w:cs="Courier New"/>
          <w:b w:val="0"/>
          <w:sz w:val="23"/>
          <w:szCs w:val="23"/>
        </w:rPr>
        <w:t>i</w:t>
      </w:r>
      <w:proofErr w:type="spellEnd"/>
      <w:r w:rsidR="00967425">
        <w:rPr>
          <w:rFonts w:cs="Courier New"/>
          <w:b w:val="0"/>
          <w:sz w:val="23"/>
          <w:szCs w:val="23"/>
        </w:rPr>
        <w:t xml:space="preserve">).  </w:t>
      </w:r>
      <w:r w:rsidR="00483090" w:rsidRPr="00C959B3">
        <w:rPr>
          <w:rFonts w:cs="Courier New"/>
          <w:b w:val="0"/>
          <w:sz w:val="23"/>
          <w:szCs w:val="23"/>
        </w:rPr>
        <w:t xml:space="preserve">However, it is not </w:t>
      </w:r>
      <w:r w:rsidR="00483090" w:rsidRPr="00C959B3">
        <w:rPr>
          <w:rFonts w:cs="Courier New"/>
          <w:b w:val="0"/>
          <w:sz w:val="23"/>
          <w:szCs w:val="23"/>
        </w:rPr>
        <w:lastRenderedPageBreak/>
        <w:t xml:space="preserve">necessary for the creditor to attach </w:t>
      </w:r>
      <w:r w:rsidR="004C5B77">
        <w:rPr>
          <w:rFonts w:cs="Courier New"/>
          <w:b w:val="0"/>
          <w:sz w:val="23"/>
          <w:szCs w:val="23"/>
        </w:rPr>
        <w:t>a</w:t>
      </w:r>
      <w:r w:rsidR="00483090" w:rsidRPr="00C959B3">
        <w:rPr>
          <w:rFonts w:cs="Courier New"/>
          <w:b w:val="0"/>
          <w:sz w:val="23"/>
          <w:szCs w:val="23"/>
        </w:rPr>
        <w:t xml:space="preserve"> </w:t>
      </w:r>
      <w:r w:rsidR="00483090" w:rsidRPr="00B96E37">
        <w:rPr>
          <w:rFonts w:cs="Courier New"/>
          <w:b w:val="0"/>
          <w:sz w:val="23"/>
          <w:szCs w:val="23"/>
          <w:u w:val="single"/>
        </w:rPr>
        <w:t>signed</w:t>
      </w:r>
      <w:r w:rsidR="00483090" w:rsidRPr="00C959B3">
        <w:rPr>
          <w:rFonts w:cs="Courier New"/>
          <w:b w:val="0"/>
          <w:sz w:val="23"/>
          <w:szCs w:val="23"/>
        </w:rPr>
        <w:t xml:space="preserve"> card </w:t>
      </w:r>
      <w:r w:rsidR="006204A9">
        <w:rPr>
          <w:rFonts w:cs="Courier New"/>
          <w:b w:val="0"/>
          <w:sz w:val="23"/>
          <w:szCs w:val="23"/>
        </w:rPr>
        <w:t>member</w:t>
      </w:r>
      <w:r w:rsidR="00483090" w:rsidRPr="00C959B3">
        <w:rPr>
          <w:rFonts w:cs="Courier New"/>
          <w:b w:val="0"/>
          <w:sz w:val="23"/>
          <w:szCs w:val="23"/>
        </w:rPr>
        <w:t xml:space="preserve"> agreement.  </w:t>
      </w:r>
      <w:r w:rsidR="00483090" w:rsidRPr="00C959B3">
        <w:rPr>
          <w:rFonts w:cs="Courier New"/>
          <w:b w:val="0"/>
          <w:i/>
          <w:sz w:val="23"/>
          <w:szCs w:val="23"/>
        </w:rPr>
        <w:t xml:space="preserve">Discover Bank v. </w:t>
      </w:r>
      <w:proofErr w:type="spellStart"/>
      <w:r w:rsidR="00483090" w:rsidRPr="00C959B3">
        <w:rPr>
          <w:rFonts w:cs="Courier New"/>
          <w:b w:val="0"/>
          <w:i/>
          <w:sz w:val="23"/>
          <w:szCs w:val="23"/>
        </w:rPr>
        <w:t>Stucka</w:t>
      </w:r>
      <w:proofErr w:type="spellEnd"/>
      <w:r w:rsidR="00483090" w:rsidRPr="00C959B3">
        <w:rPr>
          <w:rFonts w:cs="Courier New"/>
          <w:b w:val="0"/>
          <w:sz w:val="23"/>
          <w:szCs w:val="23"/>
        </w:rPr>
        <w:t xml:space="preserve">, </w:t>
      </w:r>
      <w:proofErr w:type="gramStart"/>
      <w:r w:rsidR="00483090" w:rsidRPr="00C959B3">
        <w:rPr>
          <w:rFonts w:cs="Courier New"/>
          <w:b w:val="0"/>
          <w:sz w:val="23"/>
          <w:szCs w:val="23"/>
        </w:rPr>
        <w:t>33 A.3d 82, 87-88 (Pa. Super. 2011)</w:t>
      </w:r>
      <w:proofErr w:type="gramEnd"/>
      <w:r w:rsidR="00483090" w:rsidRPr="00C959B3">
        <w:rPr>
          <w:rFonts w:cs="Courier New"/>
          <w:b w:val="0"/>
          <w:sz w:val="23"/>
          <w:szCs w:val="23"/>
        </w:rPr>
        <w:t xml:space="preserve">.  </w:t>
      </w:r>
    </w:p>
    <w:p w:rsidR="00403EF5" w:rsidRPr="00C959B3" w:rsidRDefault="004C5B77" w:rsidP="00403EF5">
      <w:pPr>
        <w:spacing w:line="480" w:lineRule="auto"/>
        <w:ind w:firstLine="720"/>
        <w:rPr>
          <w:rFonts w:cs="Courier New"/>
          <w:b w:val="0"/>
          <w:sz w:val="23"/>
          <w:szCs w:val="23"/>
        </w:rPr>
      </w:pPr>
      <w:r>
        <w:rPr>
          <w:rFonts w:cs="Courier New"/>
          <w:b w:val="0"/>
          <w:sz w:val="23"/>
          <w:szCs w:val="23"/>
        </w:rPr>
        <w:t xml:space="preserve">Another issue raised by the Defendant in </w:t>
      </w:r>
      <w:r w:rsidR="00B96E37">
        <w:rPr>
          <w:rFonts w:cs="Courier New"/>
          <w:b w:val="0"/>
          <w:sz w:val="23"/>
          <w:szCs w:val="23"/>
        </w:rPr>
        <w:t>his</w:t>
      </w:r>
      <w:r>
        <w:rPr>
          <w:rFonts w:cs="Courier New"/>
          <w:b w:val="0"/>
          <w:sz w:val="23"/>
          <w:szCs w:val="23"/>
        </w:rPr>
        <w:t xml:space="preserve"> </w:t>
      </w:r>
      <w:r w:rsidR="00B96E37">
        <w:rPr>
          <w:rFonts w:cs="Courier New"/>
          <w:b w:val="0"/>
          <w:sz w:val="23"/>
          <w:szCs w:val="23"/>
        </w:rPr>
        <w:t>preliminary</w:t>
      </w:r>
      <w:r>
        <w:rPr>
          <w:rFonts w:cs="Courier New"/>
          <w:b w:val="0"/>
          <w:sz w:val="23"/>
          <w:szCs w:val="23"/>
        </w:rPr>
        <w:t xml:space="preserve"> objections is that involving </w:t>
      </w:r>
      <w:r w:rsidR="00B96E37">
        <w:rPr>
          <w:rFonts w:cs="Courier New"/>
          <w:b w:val="0"/>
          <w:sz w:val="23"/>
          <w:szCs w:val="23"/>
        </w:rPr>
        <w:t xml:space="preserve">whether or not the complaint should include </w:t>
      </w:r>
      <w:r>
        <w:rPr>
          <w:rFonts w:cs="Courier New"/>
          <w:b w:val="0"/>
          <w:sz w:val="23"/>
          <w:szCs w:val="23"/>
        </w:rPr>
        <w:t>the credit card statements themselves</w:t>
      </w:r>
      <w:r w:rsidR="00B96E37">
        <w:rPr>
          <w:rFonts w:cs="Courier New"/>
          <w:b w:val="0"/>
          <w:sz w:val="23"/>
          <w:szCs w:val="23"/>
        </w:rPr>
        <w:t xml:space="preserve"> and if so, how much information and how many of them need to be provided</w:t>
      </w:r>
      <w:r>
        <w:rPr>
          <w:rFonts w:cs="Courier New"/>
          <w:b w:val="0"/>
          <w:sz w:val="23"/>
          <w:szCs w:val="23"/>
        </w:rPr>
        <w:t xml:space="preserve">.  </w:t>
      </w:r>
      <w:r w:rsidR="00B96E37">
        <w:rPr>
          <w:rFonts w:cs="Courier New"/>
          <w:b w:val="0"/>
          <w:sz w:val="23"/>
          <w:szCs w:val="23"/>
        </w:rPr>
        <w:t>Based on various holdings of other courts, t</w:t>
      </w:r>
      <w:r>
        <w:rPr>
          <w:rFonts w:cs="Courier New"/>
          <w:b w:val="0"/>
          <w:sz w:val="23"/>
          <w:szCs w:val="23"/>
        </w:rPr>
        <w:t xml:space="preserve">he Courts </w:t>
      </w:r>
      <w:r w:rsidR="008170CF" w:rsidRPr="00C959B3">
        <w:rPr>
          <w:rFonts w:cs="Courier New"/>
          <w:b w:val="0"/>
          <w:sz w:val="23"/>
          <w:szCs w:val="23"/>
        </w:rPr>
        <w:t xml:space="preserve">have been struggling with whether </w:t>
      </w:r>
      <w:r w:rsidR="00680863">
        <w:rPr>
          <w:rFonts w:cs="Courier New"/>
          <w:b w:val="0"/>
          <w:sz w:val="23"/>
          <w:szCs w:val="23"/>
        </w:rPr>
        <w:t xml:space="preserve">monthly </w:t>
      </w:r>
      <w:r w:rsidR="008170CF" w:rsidRPr="00C959B3">
        <w:rPr>
          <w:rFonts w:cs="Courier New"/>
          <w:b w:val="0"/>
          <w:sz w:val="23"/>
          <w:szCs w:val="23"/>
        </w:rPr>
        <w:t>credit card statements are required</w:t>
      </w:r>
      <w:r w:rsidR="00680863">
        <w:rPr>
          <w:rFonts w:cs="Courier New"/>
          <w:b w:val="0"/>
          <w:sz w:val="23"/>
          <w:szCs w:val="23"/>
        </w:rPr>
        <w:t>,</w:t>
      </w:r>
      <w:r w:rsidR="008170CF" w:rsidRPr="00C959B3">
        <w:rPr>
          <w:rFonts w:cs="Courier New"/>
          <w:b w:val="0"/>
          <w:sz w:val="23"/>
          <w:szCs w:val="23"/>
        </w:rPr>
        <w:t xml:space="preserve"> and if so</w:t>
      </w:r>
      <w:r w:rsidR="00680863">
        <w:rPr>
          <w:rFonts w:cs="Courier New"/>
          <w:b w:val="0"/>
          <w:sz w:val="23"/>
          <w:szCs w:val="23"/>
        </w:rPr>
        <w:t>,</w:t>
      </w:r>
      <w:r w:rsidR="008170CF" w:rsidRPr="00C959B3">
        <w:rPr>
          <w:rFonts w:cs="Courier New"/>
          <w:b w:val="0"/>
          <w:sz w:val="23"/>
          <w:szCs w:val="23"/>
        </w:rPr>
        <w:t xml:space="preserve"> how many statements a creditor</w:t>
      </w:r>
      <w:r>
        <w:rPr>
          <w:rFonts w:cs="Courier New"/>
          <w:b w:val="0"/>
          <w:sz w:val="23"/>
          <w:szCs w:val="23"/>
        </w:rPr>
        <w:t xml:space="preserve"> must</w:t>
      </w:r>
      <w:r w:rsidR="008170CF" w:rsidRPr="00C959B3">
        <w:rPr>
          <w:rFonts w:cs="Courier New"/>
          <w:b w:val="0"/>
          <w:sz w:val="23"/>
          <w:szCs w:val="23"/>
        </w:rPr>
        <w:t xml:space="preserve"> attach to the complaint in order to </w:t>
      </w:r>
      <w:r w:rsidR="00B96E37">
        <w:rPr>
          <w:rFonts w:cs="Courier New"/>
          <w:b w:val="0"/>
          <w:sz w:val="23"/>
          <w:szCs w:val="23"/>
        </w:rPr>
        <w:t>provide</w:t>
      </w:r>
      <w:r w:rsidR="008170CF" w:rsidRPr="00C959B3">
        <w:rPr>
          <w:rFonts w:cs="Courier New"/>
          <w:b w:val="0"/>
          <w:sz w:val="23"/>
          <w:szCs w:val="23"/>
        </w:rPr>
        <w:t xml:space="preserve"> the defendant </w:t>
      </w:r>
      <w:r w:rsidR="00B96E37">
        <w:rPr>
          <w:rFonts w:cs="Courier New"/>
          <w:b w:val="0"/>
          <w:sz w:val="23"/>
          <w:szCs w:val="23"/>
        </w:rPr>
        <w:t xml:space="preserve">with </w:t>
      </w:r>
      <w:r w:rsidR="008170CF" w:rsidRPr="00C959B3">
        <w:rPr>
          <w:rFonts w:cs="Courier New"/>
          <w:b w:val="0"/>
          <w:sz w:val="23"/>
          <w:szCs w:val="23"/>
        </w:rPr>
        <w:t xml:space="preserve">reasonable notice of what it intends to prove at trial.  </w:t>
      </w:r>
      <w:r w:rsidR="001E32A4" w:rsidRPr="00C959B3">
        <w:rPr>
          <w:rFonts w:cs="Courier New"/>
          <w:b w:val="0"/>
          <w:sz w:val="23"/>
          <w:szCs w:val="23"/>
        </w:rPr>
        <w:t xml:space="preserve">It is absolutely certain to this Court that monthly statements are </w:t>
      </w:r>
      <w:r w:rsidR="00483090" w:rsidRPr="00C959B3">
        <w:rPr>
          <w:rFonts w:cs="Courier New"/>
          <w:b w:val="0"/>
          <w:sz w:val="23"/>
          <w:szCs w:val="23"/>
        </w:rPr>
        <w:t>essential</w:t>
      </w:r>
      <w:r w:rsidR="001E32A4" w:rsidRPr="00C959B3">
        <w:rPr>
          <w:rFonts w:cs="Courier New"/>
          <w:b w:val="0"/>
          <w:sz w:val="23"/>
          <w:szCs w:val="23"/>
        </w:rPr>
        <w:t xml:space="preserve"> to allow </w:t>
      </w:r>
      <w:r w:rsidR="00680863">
        <w:rPr>
          <w:rFonts w:cs="Courier New"/>
          <w:b w:val="0"/>
          <w:sz w:val="23"/>
          <w:szCs w:val="23"/>
        </w:rPr>
        <w:t xml:space="preserve">a </w:t>
      </w:r>
      <w:r w:rsidR="001E32A4" w:rsidRPr="00C959B3">
        <w:rPr>
          <w:rFonts w:cs="Courier New"/>
          <w:b w:val="0"/>
          <w:sz w:val="23"/>
          <w:szCs w:val="23"/>
        </w:rPr>
        <w:t xml:space="preserve">defendant sufficient notice of the </w:t>
      </w:r>
      <w:r w:rsidR="005D5EAB" w:rsidRPr="00C959B3">
        <w:rPr>
          <w:rFonts w:cs="Courier New"/>
          <w:b w:val="0"/>
          <w:sz w:val="23"/>
          <w:szCs w:val="23"/>
        </w:rPr>
        <w:t>basis of the creditor’s claim.  The more difficult question is how many statement</w:t>
      </w:r>
      <w:r w:rsidR="001A7690" w:rsidRPr="00C959B3">
        <w:rPr>
          <w:rFonts w:cs="Courier New"/>
          <w:b w:val="0"/>
          <w:sz w:val="23"/>
          <w:szCs w:val="23"/>
        </w:rPr>
        <w:t xml:space="preserve">s the creditor must attach to </w:t>
      </w:r>
      <w:r>
        <w:rPr>
          <w:rFonts w:cs="Courier New"/>
          <w:b w:val="0"/>
          <w:sz w:val="23"/>
          <w:szCs w:val="23"/>
        </w:rPr>
        <w:t>the complaint to provide reasonable notice to the defendant regarding the claim.</w:t>
      </w:r>
      <w:r w:rsidR="005D5EAB" w:rsidRPr="00C959B3">
        <w:rPr>
          <w:rFonts w:cs="Courier New"/>
          <w:b w:val="0"/>
          <w:sz w:val="23"/>
          <w:szCs w:val="23"/>
        </w:rPr>
        <w:t xml:space="preserve">  </w:t>
      </w:r>
    </w:p>
    <w:p w:rsidR="00403EF5" w:rsidRPr="00C959B3" w:rsidRDefault="00403EF5" w:rsidP="00875338">
      <w:pPr>
        <w:spacing w:line="480" w:lineRule="auto"/>
        <w:ind w:firstLine="720"/>
        <w:rPr>
          <w:rFonts w:cs="Courier New"/>
          <w:b w:val="0"/>
          <w:sz w:val="23"/>
          <w:szCs w:val="23"/>
        </w:rPr>
      </w:pPr>
      <w:r w:rsidRPr="00C959B3">
        <w:rPr>
          <w:rFonts w:cs="Courier New"/>
          <w:b w:val="0"/>
          <w:sz w:val="23"/>
          <w:szCs w:val="23"/>
        </w:rPr>
        <w:t xml:space="preserve">Since </w:t>
      </w:r>
      <w:r w:rsidR="00875338" w:rsidRPr="00C959B3">
        <w:rPr>
          <w:rFonts w:cs="Courier New"/>
          <w:b w:val="0"/>
          <w:sz w:val="23"/>
          <w:szCs w:val="23"/>
        </w:rPr>
        <w:t>no higher court has set forth a standard, d</w:t>
      </w:r>
      <w:r w:rsidRPr="00C959B3">
        <w:rPr>
          <w:rFonts w:cs="Courier New"/>
          <w:b w:val="0"/>
          <w:sz w:val="23"/>
          <w:szCs w:val="23"/>
        </w:rPr>
        <w:t>ifferent</w:t>
      </w:r>
      <w:r w:rsidR="00967425">
        <w:rPr>
          <w:rFonts w:cs="Courier New"/>
          <w:b w:val="0"/>
          <w:sz w:val="23"/>
          <w:szCs w:val="23"/>
        </w:rPr>
        <w:t xml:space="preserve"> Courts of</w:t>
      </w:r>
      <w:r w:rsidRPr="00C959B3">
        <w:rPr>
          <w:rFonts w:cs="Courier New"/>
          <w:b w:val="0"/>
          <w:sz w:val="23"/>
          <w:szCs w:val="23"/>
        </w:rPr>
        <w:t xml:space="preserve"> </w:t>
      </w:r>
      <w:r w:rsidR="00875338" w:rsidRPr="00C959B3">
        <w:rPr>
          <w:rFonts w:cs="Courier New"/>
          <w:b w:val="0"/>
          <w:sz w:val="23"/>
          <w:szCs w:val="23"/>
        </w:rPr>
        <w:t xml:space="preserve">Common Pleas </w:t>
      </w:r>
      <w:r w:rsidRPr="00C959B3">
        <w:rPr>
          <w:rFonts w:cs="Courier New"/>
          <w:b w:val="0"/>
          <w:sz w:val="23"/>
          <w:szCs w:val="23"/>
        </w:rPr>
        <w:t xml:space="preserve">have required </w:t>
      </w:r>
      <w:r w:rsidR="004C5B77">
        <w:rPr>
          <w:rFonts w:cs="Courier New"/>
          <w:b w:val="0"/>
          <w:sz w:val="23"/>
          <w:szCs w:val="23"/>
        </w:rPr>
        <w:t>varying</w:t>
      </w:r>
      <w:r w:rsidRPr="00C959B3">
        <w:rPr>
          <w:rFonts w:cs="Courier New"/>
          <w:b w:val="0"/>
          <w:sz w:val="23"/>
          <w:szCs w:val="23"/>
        </w:rPr>
        <w:t xml:space="preserve"> number</w:t>
      </w:r>
      <w:r w:rsidR="004C5B77">
        <w:rPr>
          <w:rFonts w:cs="Courier New"/>
          <w:b w:val="0"/>
          <w:sz w:val="23"/>
          <w:szCs w:val="23"/>
        </w:rPr>
        <w:t>s</w:t>
      </w:r>
      <w:r w:rsidRPr="00C959B3">
        <w:rPr>
          <w:rFonts w:cs="Courier New"/>
          <w:b w:val="0"/>
          <w:sz w:val="23"/>
          <w:szCs w:val="23"/>
        </w:rPr>
        <w:t xml:space="preserve"> of statements</w:t>
      </w:r>
      <w:r w:rsidR="004C5B77">
        <w:rPr>
          <w:rFonts w:cs="Courier New"/>
          <w:b w:val="0"/>
          <w:sz w:val="23"/>
          <w:szCs w:val="23"/>
        </w:rPr>
        <w:t xml:space="preserve"> to be</w:t>
      </w:r>
      <w:r w:rsidRPr="00C959B3">
        <w:rPr>
          <w:rFonts w:cs="Courier New"/>
          <w:b w:val="0"/>
          <w:sz w:val="23"/>
          <w:szCs w:val="23"/>
        </w:rPr>
        <w:t xml:space="preserve"> </w:t>
      </w:r>
      <w:r w:rsidR="00875338" w:rsidRPr="00C959B3">
        <w:rPr>
          <w:rFonts w:cs="Courier New"/>
          <w:b w:val="0"/>
          <w:sz w:val="23"/>
          <w:szCs w:val="23"/>
        </w:rPr>
        <w:t xml:space="preserve">attached to the complaint.  Some </w:t>
      </w:r>
      <w:r w:rsidR="001A7690" w:rsidRPr="00C959B3">
        <w:rPr>
          <w:rFonts w:cs="Courier New"/>
          <w:b w:val="0"/>
          <w:sz w:val="23"/>
          <w:szCs w:val="23"/>
        </w:rPr>
        <w:t>courts have required</w:t>
      </w:r>
      <w:r w:rsidR="004C5B77">
        <w:rPr>
          <w:rFonts w:cs="Courier New"/>
          <w:b w:val="0"/>
          <w:sz w:val="23"/>
          <w:szCs w:val="23"/>
        </w:rPr>
        <w:t xml:space="preserve"> that</w:t>
      </w:r>
      <w:r w:rsidR="001A7690" w:rsidRPr="00C959B3">
        <w:rPr>
          <w:rFonts w:cs="Courier New"/>
          <w:b w:val="0"/>
          <w:sz w:val="23"/>
          <w:szCs w:val="23"/>
        </w:rPr>
        <w:t xml:space="preserve"> all monthly statements</w:t>
      </w:r>
      <w:r w:rsidR="004C5B77">
        <w:rPr>
          <w:rFonts w:cs="Courier New"/>
          <w:b w:val="0"/>
          <w:sz w:val="23"/>
          <w:szCs w:val="23"/>
        </w:rPr>
        <w:t xml:space="preserve"> be</w:t>
      </w:r>
      <w:r w:rsidR="001A7690" w:rsidRPr="00C959B3">
        <w:rPr>
          <w:rFonts w:cs="Courier New"/>
          <w:b w:val="0"/>
          <w:sz w:val="23"/>
          <w:szCs w:val="23"/>
        </w:rPr>
        <w:t xml:space="preserve"> attached to the complaint, </w:t>
      </w:r>
      <w:r w:rsidR="001A7690" w:rsidRPr="00C959B3">
        <w:rPr>
          <w:rFonts w:cs="Courier New"/>
          <w:b w:val="0"/>
          <w:i/>
          <w:sz w:val="23"/>
          <w:szCs w:val="23"/>
        </w:rPr>
        <w:t xml:space="preserve">see, e.g., </w:t>
      </w:r>
      <w:r w:rsidR="009A06BB" w:rsidRPr="00C959B3">
        <w:rPr>
          <w:rFonts w:cs="Courier New"/>
          <w:b w:val="0"/>
          <w:i/>
          <w:sz w:val="23"/>
          <w:szCs w:val="23"/>
        </w:rPr>
        <w:t>Remit Corporation v. Miller</w:t>
      </w:r>
      <w:r w:rsidR="009A06BB" w:rsidRPr="00C959B3">
        <w:rPr>
          <w:rFonts w:cs="Courier New"/>
          <w:b w:val="0"/>
          <w:sz w:val="23"/>
          <w:szCs w:val="23"/>
        </w:rPr>
        <w:t xml:space="preserve">, </w:t>
      </w:r>
      <w:r w:rsidR="00C959B3" w:rsidRPr="00C959B3">
        <w:rPr>
          <w:rFonts w:cs="Courier New"/>
          <w:b w:val="0"/>
          <w:sz w:val="23"/>
          <w:szCs w:val="23"/>
        </w:rPr>
        <w:t>5 Pa. D. &amp; C. 5</w:t>
      </w:r>
      <w:r w:rsidR="00C959B3" w:rsidRPr="00C959B3">
        <w:rPr>
          <w:rFonts w:cs="Courier New"/>
          <w:b w:val="0"/>
          <w:sz w:val="23"/>
          <w:szCs w:val="23"/>
          <w:vertAlign w:val="superscript"/>
        </w:rPr>
        <w:t>th</w:t>
      </w:r>
      <w:r w:rsidR="00C959B3" w:rsidRPr="00C959B3">
        <w:rPr>
          <w:rFonts w:cs="Courier New"/>
          <w:b w:val="0"/>
          <w:sz w:val="23"/>
          <w:szCs w:val="23"/>
        </w:rPr>
        <w:t xml:space="preserve"> 43</w:t>
      </w:r>
      <w:r w:rsidR="009A06BB" w:rsidRPr="00C959B3">
        <w:rPr>
          <w:rFonts w:cs="Courier New"/>
          <w:b w:val="0"/>
          <w:sz w:val="23"/>
          <w:szCs w:val="23"/>
        </w:rPr>
        <w:t xml:space="preserve"> (Pa.</w:t>
      </w:r>
      <w:r w:rsidR="00C959B3" w:rsidRPr="00C959B3">
        <w:rPr>
          <w:rFonts w:cs="Courier New"/>
          <w:b w:val="0"/>
          <w:sz w:val="23"/>
          <w:szCs w:val="23"/>
        </w:rPr>
        <w:t xml:space="preserve"> </w:t>
      </w:r>
      <w:r w:rsidR="009A06BB" w:rsidRPr="00C959B3">
        <w:rPr>
          <w:rFonts w:cs="Courier New"/>
          <w:b w:val="0"/>
          <w:sz w:val="23"/>
          <w:szCs w:val="23"/>
        </w:rPr>
        <w:t>Com.</w:t>
      </w:r>
      <w:r w:rsidR="00C959B3" w:rsidRPr="00C959B3">
        <w:rPr>
          <w:rFonts w:cs="Courier New"/>
          <w:b w:val="0"/>
          <w:sz w:val="23"/>
          <w:szCs w:val="23"/>
        </w:rPr>
        <w:t xml:space="preserve"> </w:t>
      </w:r>
      <w:r w:rsidR="009A06BB" w:rsidRPr="00C959B3">
        <w:rPr>
          <w:rFonts w:cs="Courier New"/>
          <w:b w:val="0"/>
          <w:sz w:val="23"/>
          <w:szCs w:val="23"/>
        </w:rPr>
        <w:t>Pl.</w:t>
      </w:r>
      <w:r w:rsidR="00C959B3" w:rsidRPr="00C959B3">
        <w:rPr>
          <w:rFonts w:cs="Courier New"/>
          <w:b w:val="0"/>
          <w:sz w:val="23"/>
          <w:szCs w:val="23"/>
        </w:rPr>
        <w:t xml:space="preserve"> 2008</w:t>
      </w:r>
      <w:r w:rsidR="009A06BB" w:rsidRPr="00C959B3">
        <w:rPr>
          <w:rFonts w:cs="Courier New"/>
          <w:b w:val="0"/>
          <w:sz w:val="23"/>
          <w:szCs w:val="23"/>
        </w:rPr>
        <w:t xml:space="preserve">), while other courts have only required </w:t>
      </w:r>
      <w:r w:rsidR="004C5B77">
        <w:rPr>
          <w:rFonts w:cs="Courier New"/>
          <w:b w:val="0"/>
          <w:sz w:val="23"/>
          <w:szCs w:val="23"/>
        </w:rPr>
        <w:t>several</w:t>
      </w:r>
      <w:r w:rsidR="009A06BB" w:rsidRPr="00C959B3">
        <w:rPr>
          <w:rFonts w:cs="Courier New"/>
          <w:b w:val="0"/>
          <w:sz w:val="23"/>
          <w:szCs w:val="23"/>
        </w:rPr>
        <w:t xml:space="preserve"> monthly statements. </w:t>
      </w:r>
      <w:proofErr w:type="gramStart"/>
      <w:r w:rsidR="009A06BB" w:rsidRPr="00C959B3">
        <w:rPr>
          <w:rFonts w:cs="Courier New"/>
          <w:b w:val="0"/>
          <w:i/>
          <w:sz w:val="23"/>
          <w:szCs w:val="23"/>
        </w:rPr>
        <w:t xml:space="preserve">See, e.g., Capital One Bank (USA) Na v. </w:t>
      </w:r>
      <w:proofErr w:type="spellStart"/>
      <w:r w:rsidR="009A06BB" w:rsidRPr="00C959B3">
        <w:rPr>
          <w:rFonts w:cs="Courier New"/>
          <w:b w:val="0"/>
          <w:i/>
          <w:sz w:val="23"/>
          <w:szCs w:val="23"/>
        </w:rPr>
        <w:t>Clevenstine</w:t>
      </w:r>
      <w:proofErr w:type="spellEnd"/>
      <w:r w:rsidR="009A06BB" w:rsidRPr="00C959B3">
        <w:rPr>
          <w:rFonts w:cs="Courier New"/>
          <w:b w:val="0"/>
          <w:sz w:val="23"/>
          <w:szCs w:val="23"/>
        </w:rPr>
        <w:t xml:space="preserve">, </w:t>
      </w:r>
      <w:r w:rsidR="00C959B3" w:rsidRPr="00C959B3">
        <w:rPr>
          <w:rFonts w:cs="Courier New"/>
          <w:b w:val="0"/>
          <w:sz w:val="23"/>
          <w:szCs w:val="23"/>
        </w:rPr>
        <w:t>7 Pa. D. &amp; C. 5</w:t>
      </w:r>
      <w:r w:rsidR="00C959B3" w:rsidRPr="00C959B3">
        <w:rPr>
          <w:rFonts w:cs="Courier New"/>
          <w:b w:val="0"/>
          <w:sz w:val="23"/>
          <w:szCs w:val="23"/>
          <w:vertAlign w:val="superscript"/>
        </w:rPr>
        <w:t>th</w:t>
      </w:r>
      <w:r w:rsidR="00C959B3" w:rsidRPr="00C959B3">
        <w:rPr>
          <w:rFonts w:cs="Courier New"/>
          <w:b w:val="0"/>
          <w:sz w:val="23"/>
          <w:szCs w:val="23"/>
        </w:rPr>
        <w:t xml:space="preserve"> 153</w:t>
      </w:r>
      <w:r w:rsidR="009A06BB" w:rsidRPr="00C959B3">
        <w:rPr>
          <w:rFonts w:cs="Courier New"/>
          <w:b w:val="0"/>
          <w:sz w:val="23"/>
          <w:szCs w:val="23"/>
        </w:rPr>
        <w:t xml:space="preserve"> (Pa.</w:t>
      </w:r>
      <w:r w:rsidR="00C959B3" w:rsidRPr="00C959B3">
        <w:rPr>
          <w:rFonts w:cs="Courier New"/>
          <w:b w:val="0"/>
          <w:sz w:val="23"/>
          <w:szCs w:val="23"/>
        </w:rPr>
        <w:t xml:space="preserve"> </w:t>
      </w:r>
      <w:r w:rsidR="009A06BB" w:rsidRPr="00C959B3">
        <w:rPr>
          <w:rFonts w:cs="Courier New"/>
          <w:b w:val="0"/>
          <w:sz w:val="23"/>
          <w:szCs w:val="23"/>
        </w:rPr>
        <w:t>Com.</w:t>
      </w:r>
      <w:r w:rsidR="00C959B3" w:rsidRPr="00C959B3">
        <w:rPr>
          <w:rFonts w:cs="Courier New"/>
          <w:b w:val="0"/>
          <w:sz w:val="23"/>
          <w:szCs w:val="23"/>
        </w:rPr>
        <w:t xml:space="preserve"> </w:t>
      </w:r>
      <w:r w:rsidR="009A06BB" w:rsidRPr="00C959B3">
        <w:rPr>
          <w:rFonts w:cs="Courier New"/>
          <w:b w:val="0"/>
          <w:sz w:val="23"/>
          <w:szCs w:val="23"/>
        </w:rPr>
        <w:t>Pl</w:t>
      </w:r>
      <w:r w:rsidR="00C959B3" w:rsidRPr="00C959B3">
        <w:rPr>
          <w:rFonts w:cs="Courier New"/>
          <w:b w:val="0"/>
          <w:sz w:val="23"/>
          <w:szCs w:val="23"/>
        </w:rPr>
        <w:t>. 2009)</w:t>
      </w:r>
      <w:r w:rsidR="00474F5E">
        <w:rPr>
          <w:rFonts w:cs="Courier New"/>
          <w:b w:val="0"/>
          <w:sz w:val="23"/>
          <w:szCs w:val="23"/>
        </w:rPr>
        <w:t>.</w:t>
      </w:r>
      <w:proofErr w:type="gramEnd"/>
      <w:r w:rsidR="009A06BB" w:rsidRPr="00C959B3">
        <w:rPr>
          <w:rFonts w:cs="Courier New"/>
          <w:b w:val="0"/>
          <w:sz w:val="23"/>
          <w:szCs w:val="23"/>
        </w:rPr>
        <w:t xml:space="preserve">  The different standard </w:t>
      </w:r>
      <w:r w:rsidR="009A06BB" w:rsidRPr="00C959B3">
        <w:rPr>
          <w:rFonts w:cs="Courier New"/>
          <w:b w:val="0"/>
          <w:sz w:val="23"/>
          <w:szCs w:val="23"/>
        </w:rPr>
        <w:lastRenderedPageBreak/>
        <w:t>between the courts have</w:t>
      </w:r>
      <w:r w:rsidR="00D0764A" w:rsidRPr="00C959B3">
        <w:rPr>
          <w:rFonts w:cs="Courier New"/>
          <w:b w:val="0"/>
          <w:sz w:val="23"/>
          <w:szCs w:val="23"/>
        </w:rPr>
        <w:t xml:space="preserve"> not only</w:t>
      </w:r>
      <w:r w:rsidR="009A06BB" w:rsidRPr="00C959B3">
        <w:rPr>
          <w:rFonts w:cs="Courier New"/>
          <w:b w:val="0"/>
          <w:sz w:val="23"/>
          <w:szCs w:val="23"/>
        </w:rPr>
        <w:t xml:space="preserve"> lead to confusion </w:t>
      </w:r>
      <w:r w:rsidR="00D0764A" w:rsidRPr="00C959B3">
        <w:rPr>
          <w:rFonts w:cs="Courier New"/>
          <w:b w:val="0"/>
          <w:sz w:val="23"/>
          <w:szCs w:val="23"/>
        </w:rPr>
        <w:t>among</w:t>
      </w:r>
      <w:r w:rsidR="009A06BB" w:rsidRPr="00C959B3">
        <w:rPr>
          <w:rFonts w:cs="Courier New"/>
          <w:b w:val="0"/>
          <w:sz w:val="23"/>
          <w:szCs w:val="23"/>
        </w:rPr>
        <w:t xml:space="preserve"> potential plaintiffs</w:t>
      </w:r>
      <w:r w:rsidR="00D0764A" w:rsidRPr="00C959B3">
        <w:rPr>
          <w:rFonts w:cs="Courier New"/>
          <w:b w:val="0"/>
          <w:sz w:val="23"/>
          <w:szCs w:val="23"/>
        </w:rPr>
        <w:t xml:space="preserve">, but also to other courts trying to apply the standard set before it.  </w:t>
      </w:r>
    </w:p>
    <w:p w:rsidR="00403EF5" w:rsidRDefault="001815A6" w:rsidP="009E21FE">
      <w:pPr>
        <w:spacing w:line="480" w:lineRule="auto"/>
        <w:rPr>
          <w:b w:val="0"/>
        </w:rPr>
      </w:pPr>
      <w:r>
        <w:rPr>
          <w:b w:val="0"/>
        </w:rPr>
        <w:tab/>
      </w:r>
      <w:r w:rsidR="00DD0E85">
        <w:rPr>
          <w:b w:val="0"/>
        </w:rPr>
        <w:t>A</w:t>
      </w:r>
      <w:r w:rsidR="00C959B3">
        <w:rPr>
          <w:b w:val="0"/>
        </w:rPr>
        <w:t xml:space="preserve"> complaint has two purposes: first, </w:t>
      </w:r>
      <w:r w:rsidR="004C5B77">
        <w:rPr>
          <w:b w:val="0"/>
        </w:rPr>
        <w:t xml:space="preserve">to </w:t>
      </w:r>
      <w:r w:rsidR="00C959B3">
        <w:rPr>
          <w:b w:val="0"/>
        </w:rPr>
        <w:t xml:space="preserve">state the plaintiff’s cause of action, and secondly, </w:t>
      </w:r>
      <w:r w:rsidR="004C5B77">
        <w:rPr>
          <w:b w:val="0"/>
        </w:rPr>
        <w:t xml:space="preserve">to </w:t>
      </w:r>
      <w:r w:rsidR="00C959B3">
        <w:rPr>
          <w:b w:val="0"/>
        </w:rPr>
        <w:t xml:space="preserve">inform the defendant of the nature of plaintiff’s claim, thereby allowing the defendant to prepare an adequate defense.  </w:t>
      </w:r>
      <w:proofErr w:type="gramStart"/>
      <w:r w:rsidR="00C959B3">
        <w:rPr>
          <w:b w:val="0"/>
          <w:i/>
        </w:rPr>
        <w:t xml:space="preserve">Varner v. Roberts, </w:t>
      </w:r>
      <w:r w:rsidR="00C959B3">
        <w:rPr>
          <w:b w:val="0"/>
        </w:rPr>
        <w:t>47 Pa. D. &amp; C.3d 118, 120 (Pa. Com. Pl. 1988).</w:t>
      </w:r>
      <w:proofErr w:type="gramEnd"/>
      <w:r w:rsidR="00C959B3">
        <w:rPr>
          <w:b w:val="0"/>
        </w:rPr>
        <w:t xml:space="preserve">  Although the purpose of a complaint is not </w:t>
      </w:r>
      <w:r w:rsidR="00B96E37">
        <w:rPr>
          <w:b w:val="0"/>
        </w:rPr>
        <w:t xml:space="preserve">to </w:t>
      </w:r>
      <w:r w:rsidR="00C959B3">
        <w:rPr>
          <w:b w:val="0"/>
        </w:rPr>
        <w:t xml:space="preserve">necessarily reveal to the defendant every underlying fact upon which an action may be based, the complaint must still set forth enough material facts </w:t>
      </w:r>
      <w:r w:rsidR="00B96E37">
        <w:rPr>
          <w:b w:val="0"/>
        </w:rPr>
        <w:t>to</w:t>
      </w:r>
      <w:r w:rsidR="00C959B3">
        <w:rPr>
          <w:b w:val="0"/>
        </w:rPr>
        <w:t xml:space="preserve"> establish a cause of action and “enable the defendant to know the nature of his alleged wrongdoing so that he may prepare a defense.”  </w:t>
      </w:r>
      <w:proofErr w:type="gramStart"/>
      <w:r w:rsidR="00C959B3">
        <w:rPr>
          <w:b w:val="0"/>
          <w:i/>
        </w:rPr>
        <w:t xml:space="preserve">General State Authority v. </w:t>
      </w:r>
      <w:proofErr w:type="spellStart"/>
      <w:r w:rsidR="00C959B3">
        <w:rPr>
          <w:b w:val="0"/>
          <w:i/>
        </w:rPr>
        <w:t>Lawrie</w:t>
      </w:r>
      <w:proofErr w:type="spellEnd"/>
      <w:r w:rsidR="00C959B3">
        <w:rPr>
          <w:b w:val="0"/>
          <w:i/>
        </w:rPr>
        <w:t xml:space="preserve"> &amp; Green</w:t>
      </w:r>
      <w:r w:rsidR="00C959B3">
        <w:rPr>
          <w:b w:val="0"/>
        </w:rPr>
        <w:t xml:space="preserve">, 415 A.2d 851, 856 (Pa. </w:t>
      </w:r>
      <w:proofErr w:type="spellStart"/>
      <w:r w:rsidR="00C959B3">
        <w:rPr>
          <w:b w:val="0"/>
        </w:rPr>
        <w:t>Commw</w:t>
      </w:r>
      <w:proofErr w:type="spellEnd"/>
      <w:r w:rsidR="00C959B3">
        <w:rPr>
          <w:b w:val="0"/>
        </w:rPr>
        <w:t>. 1976)</w:t>
      </w:r>
      <w:r w:rsidR="00474F5E">
        <w:rPr>
          <w:b w:val="0"/>
        </w:rPr>
        <w:t>.</w:t>
      </w:r>
      <w:proofErr w:type="gramEnd"/>
      <w:r w:rsidR="00474F5E">
        <w:rPr>
          <w:b w:val="0"/>
        </w:rPr>
        <w:t xml:space="preserve">  </w:t>
      </w:r>
    </w:p>
    <w:p w:rsidR="00474F5E" w:rsidRPr="008A5264" w:rsidRDefault="00474F5E" w:rsidP="009E21FE">
      <w:pPr>
        <w:spacing w:line="480" w:lineRule="auto"/>
        <w:rPr>
          <w:b w:val="0"/>
        </w:rPr>
      </w:pPr>
      <w:r>
        <w:rPr>
          <w:b w:val="0"/>
        </w:rPr>
        <w:tab/>
        <w:t xml:space="preserve"> In evaluating the nature of a credit card default case, and the function a complaint is to serve, this Court finds it appropriate to require a plaintiff to</w:t>
      </w:r>
      <w:r w:rsidR="004D595C">
        <w:rPr>
          <w:b w:val="0"/>
        </w:rPr>
        <w:t xml:space="preserve"> attach all monthly statements bearing defendant’s name with the complaint.  The reason why this Court requires all monthly statements attached to the complaint is because a defendant needs this information in two respects: first, to be able to fully and accurately answer the complaint, second, to make any necessary counterclaims or defenses, and t</w:t>
      </w:r>
      <w:r w:rsidR="008A5264">
        <w:rPr>
          <w:b w:val="0"/>
        </w:rPr>
        <w:t xml:space="preserve">o avoid unnecessary discovery.  </w:t>
      </w:r>
      <w:r w:rsidR="008A5264">
        <w:rPr>
          <w:b w:val="0"/>
        </w:rPr>
        <w:lastRenderedPageBreak/>
        <w:t xml:space="preserve">Furthermore, “a defendant is entitled to know the dates on which individual transactions were made, the amounts therefore and the items purchased to be able to answer intelligently and </w:t>
      </w:r>
      <w:r w:rsidR="004B58D4">
        <w:rPr>
          <w:b w:val="0"/>
        </w:rPr>
        <w:t>determine</w:t>
      </w:r>
      <w:r w:rsidR="008A5264">
        <w:rPr>
          <w:b w:val="0"/>
        </w:rPr>
        <w:t xml:space="preserve"> what items he can admit and what he must contest.”  </w:t>
      </w:r>
      <w:proofErr w:type="gramStart"/>
      <w:r w:rsidR="008A5264">
        <w:rPr>
          <w:b w:val="0"/>
          <w:i/>
        </w:rPr>
        <w:t xml:space="preserve">Remit Corporation v. Miller, </w:t>
      </w:r>
      <w:r w:rsidR="008A5264">
        <w:rPr>
          <w:b w:val="0"/>
        </w:rPr>
        <w:t>5 Pa. D.</w:t>
      </w:r>
      <w:proofErr w:type="gramEnd"/>
      <w:r w:rsidR="008A5264">
        <w:rPr>
          <w:b w:val="0"/>
        </w:rPr>
        <w:t xml:space="preserve">  </w:t>
      </w:r>
      <w:proofErr w:type="gramStart"/>
      <w:r w:rsidR="008A5264">
        <w:rPr>
          <w:b w:val="0"/>
        </w:rPr>
        <w:t>C.5</w:t>
      </w:r>
      <w:r w:rsidR="008A5264" w:rsidRPr="008A5264">
        <w:rPr>
          <w:b w:val="0"/>
          <w:vertAlign w:val="superscript"/>
        </w:rPr>
        <w:t>th</w:t>
      </w:r>
      <w:r w:rsidR="008A5264">
        <w:rPr>
          <w:b w:val="0"/>
        </w:rPr>
        <w:t xml:space="preserve"> 43, 48</w:t>
      </w:r>
      <w:r w:rsidR="00CB7A1A">
        <w:rPr>
          <w:b w:val="0"/>
        </w:rPr>
        <w:t xml:space="preserve"> (Pa. Com. Pl. 2008).</w:t>
      </w:r>
      <w:proofErr w:type="gramEnd"/>
      <w:r w:rsidR="00967425">
        <w:rPr>
          <w:b w:val="0"/>
        </w:rPr>
        <w:t xml:space="preserve">  Thus, a plaintiff in a credit card default case must attach the monthly statement showing Defendant’s balance at zero dollars and all subsequent monthly statements showing plaintiff is entitled to the balance on the defaulted account.</w:t>
      </w:r>
      <w:r w:rsidR="00B96E37">
        <w:rPr>
          <w:rStyle w:val="FootnoteReference"/>
          <w:b w:val="0"/>
        </w:rPr>
        <w:footnoteReference w:id="3"/>
      </w:r>
    </w:p>
    <w:p w:rsidR="00403EF5" w:rsidRDefault="00CB7A1A" w:rsidP="00CB7A1A">
      <w:pPr>
        <w:spacing w:line="480" w:lineRule="auto"/>
        <w:rPr>
          <w:b w:val="0"/>
        </w:rPr>
      </w:pPr>
      <w:r>
        <w:rPr>
          <w:b w:val="0"/>
        </w:rPr>
        <w:tab/>
      </w:r>
      <w:r w:rsidR="00632FBC">
        <w:rPr>
          <w:b w:val="0"/>
        </w:rPr>
        <w:t>In the case before this cour</w:t>
      </w:r>
      <w:r w:rsidR="00967425">
        <w:rPr>
          <w:b w:val="0"/>
        </w:rPr>
        <w:t xml:space="preserve">t, Plaintiff has not attached a </w:t>
      </w:r>
      <w:r w:rsidR="00632FBC">
        <w:rPr>
          <w:b w:val="0"/>
        </w:rPr>
        <w:t xml:space="preserve">single monthly credit card statement.  </w:t>
      </w:r>
      <w:r w:rsidR="003579A9">
        <w:rPr>
          <w:b w:val="0"/>
        </w:rPr>
        <w:t xml:space="preserve">In applying the standard just set forth above, </w:t>
      </w:r>
      <w:r w:rsidR="00632FBC">
        <w:rPr>
          <w:b w:val="0"/>
        </w:rPr>
        <w:t xml:space="preserve">this Court is left with no choice but to </w:t>
      </w:r>
      <w:r w:rsidR="009730A7">
        <w:rPr>
          <w:b w:val="0"/>
        </w:rPr>
        <w:t>require such documents</w:t>
      </w:r>
      <w:r w:rsidR="00632FBC">
        <w:rPr>
          <w:b w:val="0"/>
        </w:rPr>
        <w:t>.  Without the monthly statements, Defendant is left in a position that renders him unable to admit, deny, or state an adequate defense to the cause of action stated against h</w:t>
      </w:r>
      <w:r w:rsidR="00BA28FF">
        <w:rPr>
          <w:b w:val="0"/>
        </w:rPr>
        <w:t>im</w:t>
      </w:r>
      <w:r w:rsidR="009730A7">
        <w:rPr>
          <w:b w:val="0"/>
        </w:rPr>
        <w:t>, in whole or in part</w:t>
      </w:r>
      <w:r w:rsidR="00BA28FF">
        <w:rPr>
          <w:b w:val="0"/>
        </w:rPr>
        <w:t>.  Thus we grant Defendant’s preliminary o</w:t>
      </w:r>
      <w:r w:rsidR="00967425">
        <w:rPr>
          <w:b w:val="0"/>
        </w:rPr>
        <w:t>bjection that the c</w:t>
      </w:r>
      <w:r w:rsidR="00632FBC">
        <w:rPr>
          <w:b w:val="0"/>
        </w:rPr>
        <w:t xml:space="preserve">omplaint lacks the specificity that Rule 1019 of the Pennsylvania Rules of Civil Procedure requires. </w:t>
      </w:r>
    </w:p>
    <w:p w:rsidR="00BA28FF" w:rsidRDefault="00BA28FF" w:rsidP="00CB7A1A">
      <w:pPr>
        <w:spacing w:line="480" w:lineRule="auto"/>
        <w:rPr>
          <w:b w:val="0"/>
        </w:rPr>
      </w:pPr>
      <w:r>
        <w:rPr>
          <w:b w:val="0"/>
        </w:rPr>
        <w:tab/>
      </w:r>
      <w:r w:rsidR="004C5B77">
        <w:rPr>
          <w:b w:val="0"/>
        </w:rPr>
        <w:t>Additionally, Defendant files an objection</w:t>
      </w:r>
      <w:r>
        <w:rPr>
          <w:b w:val="0"/>
        </w:rPr>
        <w:t xml:space="preserve"> to the complaint is in the nature of a demurrer, contending that the complaint is </w:t>
      </w:r>
      <w:r>
        <w:rPr>
          <w:b w:val="0"/>
        </w:rPr>
        <w:lastRenderedPageBreak/>
        <w:t>procedurally defective and thus should be dismissed.</w:t>
      </w:r>
      <w:r w:rsidR="009730A7">
        <w:rPr>
          <w:b w:val="0"/>
        </w:rPr>
        <w:t xml:space="preserve">  </w:t>
      </w:r>
      <w:r>
        <w:rPr>
          <w:b w:val="0"/>
        </w:rPr>
        <w:t>In determining whether a demurrer should be sustained and the complaint dismissed, the question the court must ask is whether, on the facts averred, the law say</w:t>
      </w:r>
      <w:r w:rsidR="009730A7">
        <w:rPr>
          <w:b w:val="0"/>
        </w:rPr>
        <w:t>s</w:t>
      </w:r>
      <w:r>
        <w:rPr>
          <w:b w:val="0"/>
        </w:rPr>
        <w:t xml:space="preserve"> with certainty that no recovery is possible.  </w:t>
      </w:r>
      <w:proofErr w:type="gramStart"/>
      <w:r>
        <w:rPr>
          <w:b w:val="0"/>
          <w:i/>
        </w:rPr>
        <w:t>King v. U.S. Steel Corporation</w:t>
      </w:r>
      <w:r>
        <w:rPr>
          <w:b w:val="0"/>
        </w:rPr>
        <w:t>, 247 A.2d 563 (Pa. 1968).</w:t>
      </w:r>
      <w:proofErr w:type="gramEnd"/>
      <w:r>
        <w:rPr>
          <w:b w:val="0"/>
        </w:rPr>
        <w:t xml:space="preserve">  When considering the demurrer, the court must take every well-pleaded material fact set forth in the complaint, as well as all inferences</w:t>
      </w:r>
      <w:r w:rsidR="00CF5462">
        <w:rPr>
          <w:b w:val="0"/>
        </w:rPr>
        <w:t xml:space="preserve"> reasonably deducible </w:t>
      </w:r>
      <w:proofErr w:type="spellStart"/>
      <w:r w:rsidR="00CF5462">
        <w:rPr>
          <w:b w:val="0"/>
        </w:rPr>
        <w:t>therefrom</w:t>
      </w:r>
      <w:proofErr w:type="spellEnd"/>
      <w:r>
        <w:rPr>
          <w:b w:val="0"/>
        </w:rPr>
        <w:t xml:space="preserve"> as admitted.</w:t>
      </w:r>
      <w:r w:rsidR="00CF5462">
        <w:rPr>
          <w:b w:val="0"/>
        </w:rPr>
        <w:t xml:space="preserve">  </w:t>
      </w:r>
      <w:proofErr w:type="spellStart"/>
      <w:r w:rsidR="00CF5462">
        <w:rPr>
          <w:b w:val="0"/>
          <w:i/>
        </w:rPr>
        <w:t>Mistick</w:t>
      </w:r>
      <w:proofErr w:type="spellEnd"/>
      <w:r w:rsidR="00CF5462">
        <w:rPr>
          <w:b w:val="0"/>
          <w:i/>
        </w:rPr>
        <w:t xml:space="preserve"> v. </w:t>
      </w:r>
      <w:proofErr w:type="spellStart"/>
      <w:r w:rsidR="00CF5462">
        <w:rPr>
          <w:b w:val="0"/>
          <w:i/>
        </w:rPr>
        <w:t>Cammack</w:t>
      </w:r>
      <w:proofErr w:type="spellEnd"/>
      <w:r w:rsidR="00CF5462">
        <w:rPr>
          <w:b w:val="0"/>
        </w:rPr>
        <w:t xml:space="preserve">, 154 A.2d 588 (Pa. 1959).  However, a demurrer does not admit the pleader’s conclusions of law.  </w:t>
      </w:r>
      <w:proofErr w:type="gramStart"/>
      <w:r w:rsidR="00CF5462">
        <w:rPr>
          <w:b w:val="0"/>
          <w:i/>
        </w:rPr>
        <w:t xml:space="preserve">Hoffman v. </w:t>
      </w:r>
      <w:proofErr w:type="spellStart"/>
      <w:r w:rsidR="00CF5462">
        <w:rPr>
          <w:b w:val="0"/>
          <w:i/>
        </w:rPr>
        <w:t>Misericordia</w:t>
      </w:r>
      <w:proofErr w:type="spellEnd"/>
      <w:r w:rsidR="00CF5462">
        <w:rPr>
          <w:b w:val="0"/>
          <w:i/>
        </w:rPr>
        <w:t xml:space="preserve"> Hospital of Philadelphia</w:t>
      </w:r>
      <w:r w:rsidR="00CF5462">
        <w:rPr>
          <w:b w:val="0"/>
        </w:rPr>
        <w:t>, 267 A.2d 867 (Pa. 1970).</w:t>
      </w:r>
      <w:proofErr w:type="gramEnd"/>
      <w:r w:rsidR="00CF5462">
        <w:rPr>
          <w:b w:val="0"/>
        </w:rPr>
        <w:t xml:space="preserve">  If there is any doubt as to whether the demurrer should be sustained, such doubt should be resolved in favor of denying the demurrer.  </w:t>
      </w:r>
      <w:r w:rsidR="00CF5462">
        <w:rPr>
          <w:b w:val="0"/>
          <w:i/>
        </w:rPr>
        <w:t>Id.</w:t>
      </w:r>
      <w:r w:rsidR="00CF5462">
        <w:rPr>
          <w:b w:val="0"/>
        </w:rPr>
        <w:t xml:space="preserve">  </w:t>
      </w:r>
    </w:p>
    <w:p w:rsidR="008170CF" w:rsidRPr="00AE47D2" w:rsidRDefault="00823CA5" w:rsidP="00823CA5">
      <w:pPr>
        <w:spacing w:line="480" w:lineRule="auto"/>
        <w:rPr>
          <w:rFonts w:ascii="Times New Roman" w:hAnsi="Times New Roman" w:cs="Times New Roman"/>
          <w:b w:val="0"/>
          <w:sz w:val="23"/>
          <w:szCs w:val="23"/>
        </w:rPr>
      </w:pPr>
      <w:r>
        <w:rPr>
          <w:b w:val="0"/>
        </w:rPr>
        <w:tab/>
        <w:t>In examining Plaintiff’s complaint</w:t>
      </w:r>
      <w:r w:rsidR="009730A7">
        <w:rPr>
          <w:b w:val="0"/>
        </w:rPr>
        <w:t xml:space="preserve"> in the context of a demurrer</w:t>
      </w:r>
      <w:r>
        <w:rPr>
          <w:b w:val="0"/>
        </w:rPr>
        <w:t xml:space="preserve">, there are enough facts averred </w:t>
      </w:r>
      <w:r w:rsidR="00A11FF6">
        <w:rPr>
          <w:b w:val="0"/>
        </w:rPr>
        <w:t xml:space="preserve">that </w:t>
      </w:r>
      <w:r w:rsidR="009730A7">
        <w:rPr>
          <w:b w:val="0"/>
        </w:rPr>
        <w:t>establish that</w:t>
      </w:r>
      <w:r w:rsidR="00A11FF6">
        <w:rPr>
          <w:b w:val="0"/>
        </w:rPr>
        <w:t xml:space="preserve"> if all facts are true, Plaintiff would be entitled to recovery.  Therefore, Defendant’s preliminary objection in the nature of a demurrer is denied.</w:t>
      </w:r>
      <w:r w:rsidR="004C5B77">
        <w:rPr>
          <w:b w:val="0"/>
        </w:rPr>
        <w:t xml:space="preserve">  Accordingly, </w:t>
      </w:r>
      <w:r w:rsidR="009730A7">
        <w:rPr>
          <w:b w:val="0"/>
        </w:rPr>
        <w:t xml:space="preserve">the </w:t>
      </w:r>
      <w:r w:rsidR="004C5B77">
        <w:rPr>
          <w:b w:val="0"/>
        </w:rPr>
        <w:t>following order</w:t>
      </w:r>
      <w:r w:rsidR="00A048B1">
        <w:rPr>
          <w:b w:val="0"/>
        </w:rPr>
        <w:t xml:space="preserve"> is entered</w:t>
      </w:r>
      <w:r w:rsidR="004C5B77">
        <w:rPr>
          <w:b w:val="0"/>
        </w:rPr>
        <w:t>:</w:t>
      </w:r>
    </w:p>
    <w:sectPr w:rsidR="008170CF" w:rsidRPr="00AE47D2" w:rsidSect="00716D80">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4FF" w:rsidRDefault="00AE74FF" w:rsidP="00DD4393">
      <w:r>
        <w:separator/>
      </w:r>
    </w:p>
  </w:endnote>
  <w:endnote w:type="continuationSeparator" w:id="0">
    <w:p w:rsidR="00AE74FF" w:rsidRDefault="00AE74FF" w:rsidP="00DD43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9317611"/>
      <w:docPartObj>
        <w:docPartGallery w:val="Page Numbers (Bottom of Page)"/>
        <w:docPartUnique/>
      </w:docPartObj>
    </w:sdtPr>
    <w:sdtContent>
      <w:p w:rsidR="00AE74FF" w:rsidRDefault="00AE74FF">
        <w:pPr>
          <w:pStyle w:val="Footer"/>
          <w:jc w:val="center"/>
        </w:pPr>
        <w:fldSimple w:instr=" PAGE   \* MERGEFORMAT ">
          <w:r w:rsidR="006204A9">
            <w:rPr>
              <w:noProof/>
            </w:rPr>
            <w:t>7</w:t>
          </w:r>
        </w:fldSimple>
      </w:p>
      <w:p w:rsidR="00AE74FF" w:rsidRDefault="00AE74FF">
        <w:pPr>
          <w:pStyle w:val="Footer"/>
          <w:jc w:val="center"/>
        </w:pPr>
        <w:r>
          <w:t>[FM-13-12]</w:t>
        </w:r>
      </w:p>
    </w:sdtContent>
  </w:sdt>
  <w:p w:rsidR="00AE74FF" w:rsidRDefault="00AE74F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4FF" w:rsidRDefault="00AE74FF" w:rsidP="00DD4393">
      <w:r>
        <w:separator/>
      </w:r>
    </w:p>
  </w:footnote>
  <w:footnote w:type="continuationSeparator" w:id="0">
    <w:p w:rsidR="00AE74FF" w:rsidRDefault="00AE74FF" w:rsidP="00DD4393">
      <w:r>
        <w:continuationSeparator/>
      </w:r>
    </w:p>
  </w:footnote>
  <w:footnote w:id="1">
    <w:p w:rsidR="00AE74FF" w:rsidRDefault="00AE74FF">
      <w:pPr>
        <w:pStyle w:val="FootnoteText"/>
      </w:pPr>
      <w:r>
        <w:rPr>
          <w:rStyle w:val="FootnoteReference"/>
        </w:rPr>
        <w:footnoteRef/>
      </w:r>
      <w:r>
        <w:t xml:space="preserve"> It should be noted that the complaint does not indicate when the credit card account was opened; however, the Card Member Agreement is has a copyright date of 2010. </w:t>
      </w:r>
    </w:p>
  </w:footnote>
  <w:footnote w:id="2">
    <w:p w:rsidR="00AE74FF" w:rsidRPr="009730A7" w:rsidRDefault="00AE74FF">
      <w:pPr>
        <w:pStyle w:val="FootnoteText"/>
        <w:rPr>
          <w:rFonts w:cs="Courier New"/>
        </w:rPr>
      </w:pPr>
      <w:r w:rsidRPr="009730A7">
        <w:rPr>
          <w:rStyle w:val="FootnoteReference"/>
          <w:rFonts w:cs="Courier New"/>
        </w:rPr>
        <w:footnoteRef/>
      </w:r>
      <w:r w:rsidRPr="009730A7">
        <w:rPr>
          <w:rFonts w:cs="Courier New"/>
        </w:rPr>
        <w:t xml:space="preserve"> Defendants argues three (3) points in his preliminary objections: (a) Plaintiff failed to attach to (sic) complaint verification of debt; (b) failed to plead any particulars with the alleged debt from (sic) and has failed to attach a copy of the account applications; (c</w:t>
      </w:r>
      <w:proofErr w:type="gramStart"/>
      <w:r w:rsidRPr="009730A7">
        <w:rPr>
          <w:rFonts w:cs="Courier New"/>
        </w:rPr>
        <w:t>)the</w:t>
      </w:r>
      <w:proofErr w:type="gramEnd"/>
      <w:r w:rsidRPr="009730A7">
        <w:rPr>
          <w:rFonts w:cs="Courier New"/>
        </w:rPr>
        <w:t xml:space="preserve"> complaint lacked specificity by failing to include information such as date or time period, credits, payments, amounts of interest or other charges, and failed to attach a “statement of account.”  All three (3) points are related and will be dealt with together.</w:t>
      </w:r>
    </w:p>
  </w:footnote>
  <w:footnote w:id="3">
    <w:p w:rsidR="00AE74FF" w:rsidRDefault="00AE74FF">
      <w:pPr>
        <w:pStyle w:val="FootnoteText"/>
      </w:pPr>
      <w:r>
        <w:rPr>
          <w:rStyle w:val="FootnoteReference"/>
        </w:rPr>
        <w:footnoteRef/>
      </w:r>
      <w:r>
        <w:t xml:space="preserve"> A complaint of this nature sets forth only a certain dollar amount yet that claim includes alleged purchases, credit for payments, charges for interest, late fees and the like.  A defendant must have the ability to challenge each and every aspect of the claim and the only way to do so is by providing copies of all statements reflecting these items.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21942"/>
    <w:multiLevelType w:val="hybridMultilevel"/>
    <w:tmpl w:val="9524000E"/>
    <w:lvl w:ilvl="0" w:tplc="54AA55A8">
      <w:start w:val="1"/>
      <w:numFmt w:val="upperRoman"/>
      <w:lvlText w:val="%1."/>
      <w:lvlJc w:val="left"/>
      <w:pPr>
        <w:ind w:left="117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394354"/>
    <w:rsid w:val="00001880"/>
    <w:rsid w:val="0006633A"/>
    <w:rsid w:val="00081986"/>
    <w:rsid w:val="000842D7"/>
    <w:rsid w:val="000D566A"/>
    <w:rsid w:val="00127EA4"/>
    <w:rsid w:val="00151724"/>
    <w:rsid w:val="00174F71"/>
    <w:rsid w:val="001815A6"/>
    <w:rsid w:val="001A478D"/>
    <w:rsid w:val="001A7690"/>
    <w:rsid w:val="001E32A4"/>
    <w:rsid w:val="002025C9"/>
    <w:rsid w:val="002371ED"/>
    <w:rsid w:val="002A324C"/>
    <w:rsid w:val="002C1874"/>
    <w:rsid w:val="002C34DE"/>
    <w:rsid w:val="002D2CAB"/>
    <w:rsid w:val="003119C5"/>
    <w:rsid w:val="00314A23"/>
    <w:rsid w:val="003579A9"/>
    <w:rsid w:val="00394354"/>
    <w:rsid w:val="00403EF5"/>
    <w:rsid w:val="00453EC8"/>
    <w:rsid w:val="00474F5E"/>
    <w:rsid w:val="00483090"/>
    <w:rsid w:val="004B36A3"/>
    <w:rsid w:val="004B58D4"/>
    <w:rsid w:val="004C5B77"/>
    <w:rsid w:val="004D595C"/>
    <w:rsid w:val="004E289F"/>
    <w:rsid w:val="00592B53"/>
    <w:rsid w:val="00595B75"/>
    <w:rsid w:val="005A52C1"/>
    <w:rsid w:val="005B7060"/>
    <w:rsid w:val="005D5EAB"/>
    <w:rsid w:val="00617252"/>
    <w:rsid w:val="006204A9"/>
    <w:rsid w:val="00632AC0"/>
    <w:rsid w:val="00632FBC"/>
    <w:rsid w:val="00680863"/>
    <w:rsid w:val="006A77D7"/>
    <w:rsid w:val="00716D80"/>
    <w:rsid w:val="0075574A"/>
    <w:rsid w:val="007561EA"/>
    <w:rsid w:val="007B3A35"/>
    <w:rsid w:val="007D3B0A"/>
    <w:rsid w:val="007E6D9C"/>
    <w:rsid w:val="008170CF"/>
    <w:rsid w:val="00823CA5"/>
    <w:rsid w:val="0084488A"/>
    <w:rsid w:val="008672CA"/>
    <w:rsid w:val="00875338"/>
    <w:rsid w:val="0088303B"/>
    <w:rsid w:val="00887AD2"/>
    <w:rsid w:val="008A5264"/>
    <w:rsid w:val="00901736"/>
    <w:rsid w:val="00943A42"/>
    <w:rsid w:val="00955855"/>
    <w:rsid w:val="00967425"/>
    <w:rsid w:val="009730A7"/>
    <w:rsid w:val="009A06BB"/>
    <w:rsid w:val="009A582F"/>
    <w:rsid w:val="009E21FE"/>
    <w:rsid w:val="00A048B1"/>
    <w:rsid w:val="00A11FF6"/>
    <w:rsid w:val="00A538F2"/>
    <w:rsid w:val="00A57DC0"/>
    <w:rsid w:val="00AD2F00"/>
    <w:rsid w:val="00AE47D2"/>
    <w:rsid w:val="00AE74FF"/>
    <w:rsid w:val="00B11209"/>
    <w:rsid w:val="00B24FF6"/>
    <w:rsid w:val="00B42D37"/>
    <w:rsid w:val="00B606D5"/>
    <w:rsid w:val="00B76A1B"/>
    <w:rsid w:val="00B90ACD"/>
    <w:rsid w:val="00B95613"/>
    <w:rsid w:val="00B96E37"/>
    <w:rsid w:val="00BA28FF"/>
    <w:rsid w:val="00C0117C"/>
    <w:rsid w:val="00C36521"/>
    <w:rsid w:val="00C55C30"/>
    <w:rsid w:val="00C959B3"/>
    <w:rsid w:val="00CB7A1A"/>
    <w:rsid w:val="00CF5462"/>
    <w:rsid w:val="00D0764A"/>
    <w:rsid w:val="00D16C66"/>
    <w:rsid w:val="00D178BB"/>
    <w:rsid w:val="00D37E7E"/>
    <w:rsid w:val="00DB1BDE"/>
    <w:rsid w:val="00DC1401"/>
    <w:rsid w:val="00DD0E85"/>
    <w:rsid w:val="00DD4393"/>
    <w:rsid w:val="00E11BDC"/>
    <w:rsid w:val="00E624EB"/>
    <w:rsid w:val="00E91423"/>
    <w:rsid w:val="00F613FA"/>
    <w:rsid w:val="00FE11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354"/>
    <w:pPr>
      <w:spacing w:after="0" w:line="240" w:lineRule="auto"/>
      <w:jc w:val="both"/>
    </w:pPr>
    <w:rPr>
      <w:rFonts w:ascii="Courier New" w:eastAsia="Times New Roman" w:hAnsi="Courier New" w:cs="Arial"/>
      <w:b/>
      <w:sz w:val="24"/>
      <w:szCs w:val="24"/>
    </w:rPr>
  </w:style>
  <w:style w:type="paragraph" w:styleId="Heading2">
    <w:name w:val="heading 2"/>
    <w:basedOn w:val="Normal"/>
    <w:next w:val="Normal"/>
    <w:link w:val="Heading2Char"/>
    <w:qFormat/>
    <w:rsid w:val="00394354"/>
    <w:pPr>
      <w:keepNext/>
      <w:widowControl w:val="0"/>
      <w:tabs>
        <w:tab w:val="center" w:pos="4680"/>
      </w:tabs>
      <w:jc w:val="center"/>
      <w:outlineLvl w:val="1"/>
    </w:pPr>
    <w:rPr>
      <w:rFonts w:cs="Courier New"/>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94354"/>
    <w:rPr>
      <w:rFonts w:ascii="Courier New" w:eastAsia="Times New Roman" w:hAnsi="Courier New" w:cs="Courier New"/>
      <w:b/>
      <w:bCs/>
      <w:sz w:val="24"/>
      <w:szCs w:val="20"/>
      <w:u w:val="single"/>
    </w:rPr>
  </w:style>
  <w:style w:type="paragraph" w:styleId="Title">
    <w:name w:val="Title"/>
    <w:basedOn w:val="Normal"/>
    <w:link w:val="TitleChar"/>
    <w:qFormat/>
    <w:rsid w:val="00394354"/>
    <w:pPr>
      <w:jc w:val="center"/>
    </w:pPr>
    <w:rPr>
      <w:rFonts w:cs="Times New Roman"/>
      <w:szCs w:val="20"/>
    </w:rPr>
  </w:style>
  <w:style w:type="character" w:customStyle="1" w:styleId="TitleChar">
    <w:name w:val="Title Char"/>
    <w:basedOn w:val="DefaultParagraphFont"/>
    <w:link w:val="Title"/>
    <w:rsid w:val="00394354"/>
    <w:rPr>
      <w:rFonts w:ascii="Courier New" w:eastAsia="Times New Roman" w:hAnsi="Courier New" w:cs="Times New Roman"/>
      <w:b/>
      <w:sz w:val="24"/>
      <w:szCs w:val="20"/>
    </w:rPr>
  </w:style>
  <w:style w:type="paragraph" w:styleId="BodyText2">
    <w:name w:val="Body Text 2"/>
    <w:basedOn w:val="Normal"/>
    <w:link w:val="BodyText2Char"/>
    <w:rsid w:val="00394354"/>
    <w:pPr>
      <w:tabs>
        <w:tab w:val="left" w:pos="-936"/>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line="480" w:lineRule="auto"/>
      <w:ind w:left="2160"/>
      <w:textAlignment w:val="baseline"/>
    </w:pPr>
    <w:rPr>
      <w:rFonts w:cs="Times New Roman"/>
      <w:szCs w:val="20"/>
    </w:rPr>
  </w:style>
  <w:style w:type="character" w:customStyle="1" w:styleId="BodyText2Char">
    <w:name w:val="Body Text 2 Char"/>
    <w:basedOn w:val="DefaultParagraphFont"/>
    <w:link w:val="BodyText2"/>
    <w:rsid w:val="00394354"/>
    <w:rPr>
      <w:rFonts w:ascii="Courier New" w:eastAsia="Times New Roman" w:hAnsi="Courier New" w:cs="Times New Roman"/>
      <w:b/>
      <w:sz w:val="24"/>
      <w:szCs w:val="20"/>
    </w:rPr>
  </w:style>
  <w:style w:type="paragraph" w:styleId="BodyText">
    <w:name w:val="Body Text"/>
    <w:basedOn w:val="Normal"/>
    <w:link w:val="BodyTextChar"/>
    <w:uiPriority w:val="99"/>
    <w:unhideWhenUsed/>
    <w:rsid w:val="00394354"/>
    <w:pPr>
      <w:spacing w:after="120"/>
    </w:pPr>
  </w:style>
  <w:style w:type="character" w:customStyle="1" w:styleId="BodyTextChar">
    <w:name w:val="Body Text Char"/>
    <w:basedOn w:val="DefaultParagraphFont"/>
    <w:link w:val="BodyText"/>
    <w:uiPriority w:val="99"/>
    <w:rsid w:val="00394354"/>
    <w:rPr>
      <w:rFonts w:ascii="Courier New" w:eastAsia="Times New Roman" w:hAnsi="Courier New" w:cs="Arial"/>
      <w:b/>
      <w:sz w:val="24"/>
      <w:szCs w:val="24"/>
    </w:rPr>
  </w:style>
  <w:style w:type="paragraph" w:styleId="Header">
    <w:name w:val="header"/>
    <w:basedOn w:val="Normal"/>
    <w:link w:val="HeaderChar"/>
    <w:uiPriority w:val="99"/>
    <w:semiHidden/>
    <w:unhideWhenUsed/>
    <w:rsid w:val="00DD4393"/>
    <w:pPr>
      <w:tabs>
        <w:tab w:val="center" w:pos="4680"/>
        <w:tab w:val="right" w:pos="9360"/>
      </w:tabs>
    </w:pPr>
  </w:style>
  <w:style w:type="character" w:customStyle="1" w:styleId="HeaderChar">
    <w:name w:val="Header Char"/>
    <w:basedOn w:val="DefaultParagraphFont"/>
    <w:link w:val="Header"/>
    <w:uiPriority w:val="99"/>
    <w:semiHidden/>
    <w:rsid w:val="00DD4393"/>
    <w:rPr>
      <w:rFonts w:ascii="Courier New" w:eastAsia="Times New Roman" w:hAnsi="Courier New" w:cs="Arial"/>
      <w:b/>
      <w:sz w:val="24"/>
      <w:szCs w:val="24"/>
    </w:rPr>
  </w:style>
  <w:style w:type="paragraph" w:styleId="Footer">
    <w:name w:val="footer"/>
    <w:basedOn w:val="Normal"/>
    <w:link w:val="FooterChar"/>
    <w:uiPriority w:val="99"/>
    <w:unhideWhenUsed/>
    <w:rsid w:val="00DD4393"/>
    <w:pPr>
      <w:tabs>
        <w:tab w:val="center" w:pos="4680"/>
        <w:tab w:val="right" w:pos="9360"/>
      </w:tabs>
    </w:pPr>
  </w:style>
  <w:style w:type="character" w:customStyle="1" w:styleId="FooterChar">
    <w:name w:val="Footer Char"/>
    <w:basedOn w:val="DefaultParagraphFont"/>
    <w:link w:val="Footer"/>
    <w:uiPriority w:val="99"/>
    <w:rsid w:val="00DD4393"/>
    <w:rPr>
      <w:rFonts w:ascii="Courier New" w:eastAsia="Times New Roman" w:hAnsi="Courier New" w:cs="Arial"/>
      <w:b/>
      <w:sz w:val="24"/>
      <w:szCs w:val="24"/>
    </w:rPr>
  </w:style>
  <w:style w:type="character" w:customStyle="1" w:styleId="tabindex0">
    <w:name w:val="tabindex=0"/>
    <w:basedOn w:val="DefaultParagraphFont"/>
    <w:rsid w:val="001815A6"/>
  </w:style>
  <w:style w:type="paragraph" w:styleId="BalloonText">
    <w:name w:val="Balloon Text"/>
    <w:basedOn w:val="Normal"/>
    <w:link w:val="BalloonTextChar"/>
    <w:uiPriority w:val="99"/>
    <w:semiHidden/>
    <w:unhideWhenUsed/>
    <w:rsid w:val="002C1874"/>
    <w:rPr>
      <w:rFonts w:ascii="Tahoma" w:hAnsi="Tahoma" w:cs="Tahoma"/>
      <w:sz w:val="16"/>
      <w:szCs w:val="16"/>
    </w:rPr>
  </w:style>
  <w:style w:type="character" w:customStyle="1" w:styleId="BalloonTextChar">
    <w:name w:val="Balloon Text Char"/>
    <w:basedOn w:val="DefaultParagraphFont"/>
    <w:link w:val="BalloonText"/>
    <w:uiPriority w:val="99"/>
    <w:semiHidden/>
    <w:rsid w:val="002C1874"/>
    <w:rPr>
      <w:rFonts w:ascii="Tahoma" w:eastAsia="Times New Roman" w:hAnsi="Tahoma" w:cs="Tahoma"/>
      <w:b/>
      <w:sz w:val="16"/>
      <w:szCs w:val="16"/>
    </w:rPr>
  </w:style>
  <w:style w:type="paragraph" w:styleId="FootnoteText">
    <w:name w:val="footnote text"/>
    <w:basedOn w:val="Normal"/>
    <w:link w:val="FootnoteTextChar"/>
    <w:uiPriority w:val="99"/>
    <w:semiHidden/>
    <w:unhideWhenUsed/>
    <w:rsid w:val="0075574A"/>
    <w:rPr>
      <w:sz w:val="20"/>
      <w:szCs w:val="20"/>
    </w:rPr>
  </w:style>
  <w:style w:type="character" w:customStyle="1" w:styleId="FootnoteTextChar">
    <w:name w:val="Footnote Text Char"/>
    <w:basedOn w:val="DefaultParagraphFont"/>
    <w:link w:val="FootnoteText"/>
    <w:uiPriority w:val="99"/>
    <w:semiHidden/>
    <w:rsid w:val="0075574A"/>
    <w:rPr>
      <w:rFonts w:ascii="Courier New" w:eastAsia="Times New Roman" w:hAnsi="Courier New" w:cs="Arial"/>
      <w:b/>
      <w:sz w:val="20"/>
      <w:szCs w:val="20"/>
    </w:rPr>
  </w:style>
  <w:style w:type="character" w:styleId="FootnoteReference">
    <w:name w:val="footnote reference"/>
    <w:basedOn w:val="DefaultParagraphFont"/>
    <w:uiPriority w:val="99"/>
    <w:semiHidden/>
    <w:unhideWhenUsed/>
    <w:rsid w:val="0075574A"/>
    <w:rPr>
      <w:vertAlign w:val="superscript"/>
    </w:rPr>
  </w:style>
</w:styles>
</file>

<file path=word/webSettings.xml><?xml version="1.0" encoding="utf-8"?>
<w:webSettings xmlns:r="http://schemas.openxmlformats.org/officeDocument/2006/relationships" xmlns:w="http://schemas.openxmlformats.org/wordprocessingml/2006/main">
  <w:divs>
    <w:div w:id="623658322">
      <w:bodyDiv w:val="1"/>
      <w:marLeft w:val="0"/>
      <w:marRight w:val="0"/>
      <w:marTop w:val="0"/>
      <w:marBottom w:val="0"/>
      <w:divBdr>
        <w:top w:val="none" w:sz="0" w:space="0" w:color="auto"/>
        <w:left w:val="none" w:sz="0" w:space="0" w:color="auto"/>
        <w:bottom w:val="none" w:sz="0" w:space="0" w:color="auto"/>
        <w:right w:val="none" w:sz="0" w:space="0" w:color="auto"/>
      </w:divBdr>
      <w:divsChild>
        <w:div w:id="874850911">
          <w:marLeft w:val="0"/>
          <w:marRight w:val="0"/>
          <w:marTop w:val="0"/>
          <w:marBottom w:val="0"/>
          <w:divBdr>
            <w:top w:val="none" w:sz="0" w:space="0" w:color="auto"/>
            <w:left w:val="none" w:sz="0" w:space="0" w:color="auto"/>
            <w:bottom w:val="none" w:sz="0" w:space="0" w:color="auto"/>
            <w:right w:val="none" w:sz="0" w:space="0" w:color="auto"/>
          </w:divBdr>
          <w:divsChild>
            <w:div w:id="102139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52225">
      <w:bodyDiv w:val="1"/>
      <w:marLeft w:val="0"/>
      <w:marRight w:val="0"/>
      <w:marTop w:val="0"/>
      <w:marBottom w:val="0"/>
      <w:divBdr>
        <w:top w:val="none" w:sz="0" w:space="0" w:color="auto"/>
        <w:left w:val="none" w:sz="0" w:space="0" w:color="auto"/>
        <w:bottom w:val="none" w:sz="0" w:space="0" w:color="auto"/>
        <w:right w:val="none" w:sz="0" w:space="0" w:color="auto"/>
      </w:divBdr>
      <w:divsChild>
        <w:div w:id="907571777">
          <w:marLeft w:val="0"/>
          <w:marRight w:val="0"/>
          <w:marTop w:val="0"/>
          <w:marBottom w:val="0"/>
          <w:divBdr>
            <w:top w:val="none" w:sz="0" w:space="0" w:color="auto"/>
            <w:left w:val="none" w:sz="0" w:space="0" w:color="auto"/>
            <w:bottom w:val="none" w:sz="0" w:space="0" w:color="auto"/>
            <w:right w:val="none" w:sz="0" w:space="0" w:color="auto"/>
          </w:divBdr>
          <w:divsChild>
            <w:div w:id="16510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C3216-68DB-4AEF-BBDD-0C418D433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2164</TotalTime>
  <Pages>7</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Carbon County Courthouse</Company>
  <LinksUpToDate>false</LinksUpToDate>
  <CharactersWithSpaces>9019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dc:creator>
  <cp:keywords/>
  <dc:description/>
  <cp:lastModifiedBy>jeff</cp:lastModifiedBy>
  <cp:revision>27</cp:revision>
  <cp:lastPrinted>2012-04-09T20:35:00Z</cp:lastPrinted>
  <dcterms:created xsi:type="dcterms:W3CDTF">2012-02-21T20:41:00Z</dcterms:created>
  <dcterms:modified xsi:type="dcterms:W3CDTF">2012-04-17T19:39:00Z</dcterms:modified>
</cp:coreProperties>
</file>